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500"/>
      </w:pPr>
      <w:r>
        <w:rPr>
          <w:b/>
          <w:bCs/>
          <w:color w:val="1F3D2B"/>
          <w:sz w:val="28"/>
          <w:szCs w:val="28"/>
        </w:rPr>
        <w:t xml:space="preserve">Capital Forge League, Inc.</w:t>
      </w:r>
    </w:p>
    <w:p>
      <w:pPr>
        <w:pBdr>
          <w:bottom w:val="single" w:color="1F3D2B" w:sz="10" w:space="6"/>
        </w:pBdr>
        <w:spacing w:after="280"/>
      </w:pPr>
      <w:r>
        <w:rPr>
          <w:sz w:val="6"/>
          <w:szCs w:val="6"/>
        </w:rPr>
        <w:t xml:space="preserve"/>
      </w:r>
    </w:p>
    <w:p>
      <w:pPr>
        <w:spacing w:after="140"/>
      </w:pPr>
      <w:r>
        <w:rPr>
          <w:b/>
          <w:bCs/>
          <w:color w:val="1F3D2B"/>
          <w:sz w:val="46"/>
          <w:szCs w:val="46"/>
        </w:rPr>
        <w:t xml:space="preserve">Online Charity Auction</w:t>
      </w:r>
    </w:p>
    <w:p>
      <w:pPr>
        <w:spacing w:after="300"/>
      </w:pPr>
      <w:r>
        <w:rPr>
          <w:color w:val="4A6154"/>
          <w:sz w:val="27"/>
          <w:szCs w:val="27"/>
        </w:rPr>
        <w:t xml:space="preserve">Program Design, Compliance Framework, and Launch Plan</w:t>
      </w:r>
    </w:p>
    <w:p>
      <w:pPr>
        <w:spacing w:after="280"/>
      </w:pPr>
      <w:r>
        <w:rPr>
          <w:sz w:val="20"/>
          <w:szCs w:val="20"/>
        </w:rPr>
        <w:t xml:space="preserve">A complete operating plan for a sports memorabilia benefit auction supporting athlete safety research — covering registration and disclosure requirements, platform selection, item sourcing, a ready-to-send solicitation letter, listing templates with required tax language, and a launch checklist.</w:t>
      </w:r>
    </w:p>
    <w:p>
      <w:pPr>
        <w:spacing w:after="40"/>
      </w:pPr>
      <w:r>
        <w:rPr>
          <w:b/>
          <w:bCs/>
          <w:sz w:val="20"/>
          <w:szCs w:val="20"/>
        </w:rPr>
        <w:t xml:space="preserve">Prepared for: Mark Jones, Founder &amp; Chief Executive Officer</w:t>
      </w:r>
    </w:p>
    <w:p>
      <w:pPr>
        <w:spacing w:after="40"/>
      </w:pPr>
      <w:r>
        <w:rPr>
          <w:sz w:val="20"/>
          <w:szCs w:val="20"/>
        </w:rPr>
        <w:t xml:space="preserve">Date: August 7, 2026</w:t>
      </w:r>
    </w:p>
    <w:p>
      <w:pPr>
        <w:spacing w:after="260"/>
      </w:pPr>
      <w:r>
        <w:rPr>
          <w:i/>
          <w:iCs/>
          <w:sz w:val="18"/>
          <w:szCs w:val="18"/>
        </w:rPr>
        <w:t xml:space="preserve">Classification: Capital Forge League, Inc. only. Contains no Sprowtt, Inc. or StateCF.com matter.</w:t>
      </w:r>
    </w:p>
    <w:p>
      <w:pPr>
        <w:pBdr>
          <w:top w:val="single" w:color="EDF1EE" w:sz="2" w:space="8"/>
          <w:bottom w:val="single" w:color="EDF1EE" w:sz="2" w:space="8"/>
          <w:left w:val="single" w:color="1F3D2B" w:sz="18" w:space="8"/>
          <w:right w:val="single" w:color="EDF1EE" w:sz="2" w:space="8"/>
        </w:pBdr>
        <w:shd w:fill="EDF1EE" w:val="clear"/>
        <w:spacing w:after="180" w:before="160"/>
      </w:pPr>
      <w:r>
        <w:rPr>
          <w:b/>
          <w:bCs/>
          <w:color w:val="1F3D2B"/>
          <w:sz w:val="19"/>
          <w:szCs w:val="19"/>
        </w:rPr>
        <w:t xml:space="preserve">NOTICE  </w:t>
      </w:r>
      <w:r>
        <w:rPr>
          <w:sz w:val="19"/>
          <w:szCs w:val="19"/>
        </w:rPr>
        <w:t xml:space="preserve">Advisory only. Not legal, tax, or accounting advice. Charitable solicitation registration, tax disclosure, and sales tax requirements vary by state and change. Every compliance item in this document requires review by the Corporation’s Managing Attorney and CPA before launch. Platform pricing is current as of the research date and requires direct verification.</w:t>
      </w:r>
    </w:p>
    <w:p>
      <w:pPr>
        <w:pageBreakBefore/>
        <w:pBdr>
          <w:bottom w:val="single" w:color="1F3D2B" w:sz="8" w:space="4"/>
        </w:pBdr>
        <w:spacing w:after="150" w:before="340"/>
      </w:pPr>
      <w:r>
        <w:rPr>
          <w:b/>
          <w:bCs/>
          <w:color w:val="1F3D2B"/>
          <w:sz w:val="27"/>
          <w:szCs w:val="27"/>
        </w:rPr>
        <w:t xml:space="preserve">1.  Executive Summary and Honest Assessment</w:t>
      </w:r>
    </w:p>
    <w:p>
      <w:pPr>
        <w:spacing w:after="150"/>
      </w:pPr>
      <w:r>
        <w:rPr>
          <w:sz w:val="20"/>
          <w:szCs w:val="20"/>
        </w:rPr>
        <w:t xml:space="preserve">A charity auction is ordinary, legal, well-understood nonprofit fundraising, and sports memorabilia is squarely on mission for an organisation serving athletes. Framing proceeds toward athlete safety research gives donors a concrete cause rather than general operating support, which converts materially better. It is also one of the few revenue paths available to CFL that can produce money inside ninety days.</w:t>
      </w:r>
    </w:p>
    <w:p>
      <w:pPr>
        <w:spacing w:after="120" w:before="280"/>
      </w:pPr>
      <w:r>
        <w:rPr>
          <w:b/>
          <w:bCs/>
          <w:color w:val="1F3D2B"/>
          <w:sz w:val="23"/>
          <w:szCs w:val="23"/>
        </w:rPr>
        <w:t xml:space="preserve">1.1  The constraint is the audience, not the auction</w:t>
      </w:r>
    </w:p>
    <w:p>
      <w:pPr>
        <w:pBdr>
          <w:top w:val="single" w:color="EDF1EE" w:sz="2" w:space="8"/>
          <w:bottom w:val="single" w:color="EDF1EE" w:sz="2" w:space="8"/>
          <w:left w:val="single" w:color="1F3D2B" w:sz="18" w:space="8"/>
          <w:right w:val="single" w:color="EDF1EE" w:sz="2" w:space="8"/>
        </w:pBdr>
        <w:shd w:fill="EDF1EE" w:val="clear"/>
        <w:spacing w:after="180" w:before="160"/>
      </w:pPr>
      <w:r>
        <w:rPr>
          <w:b/>
          <w:bCs/>
          <w:color w:val="1F3D2B"/>
          <w:sz w:val="19"/>
          <w:szCs w:val="19"/>
        </w:rPr>
        <w:t xml:space="preserve">THE REAL PROBLEM  </w:t>
      </w:r>
      <w:r>
        <w:rPr>
          <w:sz w:val="19"/>
          <w:szCs w:val="19"/>
        </w:rPr>
        <w:t xml:space="preserve">An auction monetises an audience that already exists. It does not create one. CFL currently has limited public presence, no assembled donor list, and no prior fundraising event. A well-run auction with excellent items and no bidders raises nothing. Every element of this plan should therefore be judged against one question: does it put more qualified bidders in front of the items?</w:t>
      </w:r>
    </w:p>
    <w:p>
      <w:pPr>
        <w:spacing w:after="150"/>
      </w:pPr>
      <w:r>
        <w:rPr>
          <w:sz w:val="20"/>
          <w:szCs w:val="20"/>
        </w:rPr>
        <w:t xml:space="preserve">This is solvable, but it changes the sequence. Audience building precedes item solicitation, and the first auction should be sized to the audience CFL can realistically assemble rather than to the items it might obtain.</w:t>
      </w:r>
    </w:p>
    <w:p>
      <w:pPr>
        <w:spacing w:after="120" w:before="280"/>
      </w:pPr>
      <w:r>
        <w:rPr>
          <w:b/>
          <w:bCs/>
          <w:color w:val="1F3D2B"/>
          <w:sz w:val="23"/>
          <w:szCs w:val="23"/>
        </w:rPr>
        <w:t xml:space="preserve">1.2  Realistic expectations for a first auction</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200"/>
        <w:gridCol w:w="3200"/>
        <w:gridCol w:w="4000"/>
      </w:tblGrid>
      <w:tr>
        <w:trPr>
          <w:tblHeader/>
        </w:trPr>
        <w:tc>
          <w:tcPr>
            <w:tcW w:type="dxa" w:w="2200"/>
            <w:shd w:fill="EDF1EE" w:val="clear"/>
            <w:tcMar>
              <w:top w:type="dxa" w:w="70"/>
              <w:left w:type="dxa" w:w="90"/>
              <w:bottom w:type="dxa" w:w="70"/>
              <w:right w:type="dxa" w:w="90"/>
            </w:tcMar>
          </w:tcPr>
          <w:p>
            <w:r>
              <w:rPr>
                <w:b/>
                <w:bCs/>
                <w:sz w:val="16"/>
                <w:szCs w:val="16"/>
              </w:rPr>
              <w:t xml:space="preserve">Metric</w:t>
            </w:r>
          </w:p>
        </w:tc>
        <w:tc>
          <w:tcPr>
            <w:tcW w:type="dxa" w:w="3200"/>
            <w:shd w:fill="EDF1EE" w:val="clear"/>
            <w:tcMar>
              <w:top w:type="dxa" w:w="70"/>
              <w:left w:type="dxa" w:w="90"/>
              <w:bottom w:type="dxa" w:w="70"/>
              <w:right w:type="dxa" w:w="90"/>
            </w:tcMar>
          </w:tcPr>
          <w:p>
            <w:r>
              <w:rPr>
                <w:b/>
                <w:bCs/>
                <w:sz w:val="16"/>
                <w:szCs w:val="16"/>
              </w:rPr>
              <w:t xml:space="preserve">Realistic first-auction range</w:t>
            </w:r>
          </w:p>
        </w:tc>
        <w:tc>
          <w:tcPr>
            <w:tcW w:type="dxa" w:w="4000"/>
            <w:shd w:fill="EDF1EE" w:val="clear"/>
            <w:tcMar>
              <w:top w:type="dxa" w:w="70"/>
              <w:left w:type="dxa" w:w="90"/>
              <w:bottom w:type="dxa" w:w="70"/>
              <w:right w:type="dxa" w:w="90"/>
            </w:tcMar>
          </w:tcPr>
          <w:p>
            <w:r>
              <w:rPr>
                <w:b/>
                <w:bCs/>
                <w:sz w:val="16"/>
                <w:szCs w:val="16"/>
              </w:rPr>
              <w:t xml:space="preserve">Note</w:t>
            </w:r>
          </w:p>
        </w:tc>
      </w:tr>
      <w:tr>
        <w:tc>
          <w:tcPr>
            <w:tcW w:type="dxa" w:w="2200"/>
            <w:tcMar>
              <w:top w:type="dxa" w:w="70"/>
              <w:left w:type="dxa" w:w="90"/>
              <w:bottom w:type="dxa" w:w="70"/>
              <w:right w:type="dxa" w:w="90"/>
            </w:tcMar>
          </w:tcPr>
          <w:p>
            <w:r>
              <w:rPr>
                <w:sz w:val="16"/>
                <w:szCs w:val="16"/>
              </w:rPr>
              <w:t xml:space="preserve">Items</w:t>
            </w:r>
          </w:p>
        </w:tc>
        <w:tc>
          <w:tcPr>
            <w:tcW w:type="dxa" w:w="3200"/>
            <w:tcMar>
              <w:top w:type="dxa" w:w="70"/>
              <w:left w:type="dxa" w:w="90"/>
              <w:bottom w:type="dxa" w:w="70"/>
              <w:right w:type="dxa" w:w="90"/>
            </w:tcMar>
          </w:tcPr>
          <w:p>
            <w:r>
              <w:rPr>
                <w:sz w:val="16"/>
                <w:szCs w:val="16"/>
              </w:rPr>
              <w:t xml:space="preserve">20–40</w:t>
            </w:r>
          </w:p>
        </w:tc>
        <w:tc>
          <w:tcPr>
            <w:tcW w:type="dxa" w:w="4000"/>
            <w:tcMar>
              <w:top w:type="dxa" w:w="70"/>
              <w:left w:type="dxa" w:w="90"/>
              <w:bottom w:type="dxa" w:w="70"/>
              <w:right w:type="dxa" w:w="90"/>
            </w:tcMar>
          </w:tcPr>
          <w:p>
            <w:r>
              <w:rPr>
                <w:sz w:val="16"/>
                <w:szCs w:val="16"/>
              </w:rPr>
              <w:t xml:space="preserve">Fewer, better items outperform a long thin catalogue</w:t>
            </w:r>
          </w:p>
        </w:tc>
      </w:tr>
      <w:tr>
        <w:tc>
          <w:tcPr>
            <w:tcW w:type="dxa" w:w="2200"/>
            <w:tcMar>
              <w:top w:type="dxa" w:w="70"/>
              <w:left w:type="dxa" w:w="90"/>
              <w:bottom w:type="dxa" w:w="70"/>
              <w:right w:type="dxa" w:w="90"/>
            </w:tcMar>
          </w:tcPr>
          <w:p>
            <w:r>
              <w:rPr>
                <w:sz w:val="16"/>
                <w:szCs w:val="16"/>
              </w:rPr>
              <w:t xml:space="preserve">Registered bidders</w:t>
            </w:r>
          </w:p>
        </w:tc>
        <w:tc>
          <w:tcPr>
            <w:tcW w:type="dxa" w:w="3200"/>
            <w:tcMar>
              <w:top w:type="dxa" w:w="70"/>
              <w:left w:type="dxa" w:w="90"/>
              <w:bottom w:type="dxa" w:w="70"/>
              <w:right w:type="dxa" w:w="90"/>
            </w:tcMar>
          </w:tcPr>
          <w:p>
            <w:r>
              <w:rPr>
                <w:sz w:val="16"/>
                <w:szCs w:val="16"/>
              </w:rPr>
              <w:t xml:space="preserve">75–300</w:t>
            </w:r>
          </w:p>
        </w:tc>
        <w:tc>
          <w:tcPr>
            <w:tcW w:type="dxa" w:w="4000"/>
            <w:tcMar>
              <w:top w:type="dxa" w:w="70"/>
              <w:left w:type="dxa" w:w="90"/>
              <w:bottom w:type="dxa" w:w="70"/>
              <w:right w:type="dxa" w:w="90"/>
            </w:tcMar>
          </w:tcPr>
          <w:p>
            <w:r>
              <w:rPr>
                <w:sz w:val="16"/>
                <w:szCs w:val="16"/>
              </w:rPr>
              <w:t xml:space="preserve">This is the binding constraint and the thing to work on first</w:t>
            </w:r>
          </w:p>
        </w:tc>
      </w:tr>
      <w:tr>
        <w:tc>
          <w:tcPr>
            <w:tcW w:type="dxa" w:w="2200"/>
            <w:tcMar>
              <w:top w:type="dxa" w:w="70"/>
              <w:left w:type="dxa" w:w="90"/>
              <w:bottom w:type="dxa" w:w="70"/>
              <w:right w:type="dxa" w:w="90"/>
            </w:tcMar>
          </w:tcPr>
          <w:p>
            <w:r>
              <w:rPr>
                <w:sz w:val="16"/>
                <w:szCs w:val="16"/>
              </w:rPr>
              <w:t xml:space="preserve">Average item realisation</w:t>
            </w:r>
          </w:p>
        </w:tc>
        <w:tc>
          <w:tcPr>
            <w:tcW w:type="dxa" w:w="3200"/>
            <w:tcMar>
              <w:top w:type="dxa" w:w="70"/>
              <w:left w:type="dxa" w:w="90"/>
              <w:bottom w:type="dxa" w:w="70"/>
              <w:right w:type="dxa" w:w="90"/>
            </w:tcMar>
          </w:tcPr>
          <w:p>
            <w:r>
              <w:rPr>
                <w:sz w:val="16"/>
                <w:szCs w:val="16"/>
              </w:rPr>
              <w:t xml:space="preserve">50–80% of fair market value</w:t>
            </w:r>
          </w:p>
        </w:tc>
        <w:tc>
          <w:tcPr>
            <w:tcW w:type="dxa" w:w="4000"/>
            <w:tcMar>
              <w:top w:type="dxa" w:w="70"/>
              <w:left w:type="dxa" w:w="90"/>
              <w:bottom w:type="dxa" w:w="70"/>
              <w:right w:type="dxa" w:w="90"/>
            </w:tcMar>
          </w:tcPr>
          <w:p>
            <w:r>
              <w:rPr>
                <w:sz w:val="16"/>
                <w:szCs w:val="16"/>
              </w:rPr>
              <w:t xml:space="preserve">First auctions underperform FMV; competition is thin</w:t>
            </w:r>
          </w:p>
        </w:tc>
      </w:tr>
      <w:tr>
        <w:tc>
          <w:tcPr>
            <w:tcW w:type="dxa" w:w="2200"/>
            <w:tcMar>
              <w:top w:type="dxa" w:w="70"/>
              <w:left w:type="dxa" w:w="90"/>
              <w:bottom w:type="dxa" w:w="70"/>
              <w:right w:type="dxa" w:w="90"/>
            </w:tcMar>
          </w:tcPr>
          <w:p>
            <w:r>
              <w:rPr>
                <w:sz w:val="16"/>
                <w:szCs w:val="16"/>
              </w:rPr>
              <w:t xml:space="preserve">Gross</w:t>
            </w:r>
          </w:p>
        </w:tc>
        <w:tc>
          <w:tcPr>
            <w:tcW w:type="dxa" w:w="3200"/>
            <w:tcMar>
              <w:top w:type="dxa" w:w="70"/>
              <w:left w:type="dxa" w:w="90"/>
              <w:bottom w:type="dxa" w:w="70"/>
              <w:right w:type="dxa" w:w="90"/>
            </w:tcMar>
          </w:tcPr>
          <w:p>
            <w:r>
              <w:rPr>
                <w:sz w:val="16"/>
                <w:szCs w:val="16"/>
              </w:rPr>
              <w:t xml:space="preserve">$3,000–$12,000</w:t>
            </w:r>
          </w:p>
        </w:tc>
        <w:tc>
          <w:tcPr>
            <w:tcW w:type="dxa" w:w="4000"/>
            <w:tcMar>
              <w:top w:type="dxa" w:w="70"/>
              <w:left w:type="dxa" w:w="90"/>
              <w:bottom w:type="dxa" w:w="70"/>
              <w:right w:type="dxa" w:w="90"/>
            </w:tcMar>
          </w:tcPr>
          <w:p>
            <w:r>
              <w:rPr>
                <w:sz w:val="16"/>
                <w:szCs w:val="16"/>
              </w:rPr>
              <w:t xml:space="preserve">Wide range because it tracks bidder count, not item quality</w:t>
            </w:r>
          </w:p>
        </w:tc>
      </w:tr>
      <w:tr>
        <w:tc>
          <w:tcPr>
            <w:tcW w:type="dxa" w:w="2200"/>
            <w:tcMar>
              <w:top w:type="dxa" w:w="70"/>
              <w:left w:type="dxa" w:w="90"/>
              <w:bottom w:type="dxa" w:w="70"/>
              <w:right w:type="dxa" w:w="90"/>
            </w:tcMar>
          </w:tcPr>
          <w:p>
            <w:r>
              <w:rPr>
                <w:sz w:val="16"/>
                <w:szCs w:val="16"/>
              </w:rPr>
              <w:t xml:space="preserve">Net after platform and processing</w:t>
            </w:r>
          </w:p>
        </w:tc>
        <w:tc>
          <w:tcPr>
            <w:tcW w:type="dxa" w:w="3200"/>
            <w:tcMar>
              <w:top w:type="dxa" w:w="70"/>
              <w:left w:type="dxa" w:w="90"/>
              <w:bottom w:type="dxa" w:w="70"/>
              <w:right w:type="dxa" w:w="90"/>
            </w:tcMar>
          </w:tcPr>
          <w:p>
            <w:r>
              <w:rPr>
                <w:sz w:val="16"/>
                <w:szCs w:val="16"/>
              </w:rPr>
              <w:t xml:space="preserve">Approximately 85–95% of gross</w:t>
            </w:r>
          </w:p>
        </w:tc>
        <w:tc>
          <w:tcPr>
            <w:tcW w:type="dxa" w:w="4000"/>
            <w:tcMar>
              <w:top w:type="dxa" w:w="70"/>
              <w:left w:type="dxa" w:w="90"/>
              <w:bottom w:type="dxa" w:w="70"/>
              <w:right w:type="dxa" w:w="90"/>
            </w:tcMar>
          </w:tcPr>
          <w:p>
            <w:r>
              <w:rPr>
                <w:sz w:val="16"/>
                <w:szCs w:val="16"/>
              </w:rPr>
              <w:t xml:space="preserve">Depends heavily on platform selection</w:t>
            </w:r>
          </w:p>
        </w:tc>
      </w:tr>
      <w:tr>
        <w:tc>
          <w:tcPr>
            <w:tcW w:type="dxa" w:w="2200"/>
            <w:tcMar>
              <w:top w:type="dxa" w:w="70"/>
              <w:left w:type="dxa" w:w="90"/>
              <w:bottom w:type="dxa" w:w="70"/>
              <w:right w:type="dxa" w:w="90"/>
            </w:tcMar>
          </w:tcPr>
          <w:p>
            <w:r>
              <w:rPr>
                <w:sz w:val="16"/>
                <w:szCs w:val="16"/>
              </w:rPr>
              <w:t xml:space="preserve">Founder hours</w:t>
            </w:r>
          </w:p>
        </w:tc>
        <w:tc>
          <w:tcPr>
            <w:tcW w:type="dxa" w:w="3200"/>
            <w:tcMar>
              <w:top w:type="dxa" w:w="70"/>
              <w:left w:type="dxa" w:w="90"/>
              <w:bottom w:type="dxa" w:w="70"/>
              <w:right w:type="dxa" w:w="90"/>
            </w:tcMar>
          </w:tcPr>
          <w:p>
            <w:r>
              <w:rPr>
                <w:sz w:val="16"/>
                <w:szCs w:val="16"/>
              </w:rPr>
              <w:t xml:space="preserve">60–100</w:t>
            </w:r>
          </w:p>
        </w:tc>
        <w:tc>
          <w:tcPr>
            <w:tcW w:type="dxa" w:w="4000"/>
            <w:tcMar>
              <w:top w:type="dxa" w:w="70"/>
              <w:left w:type="dxa" w:w="90"/>
              <w:bottom w:type="dxa" w:w="70"/>
              <w:right w:type="dxa" w:w="90"/>
            </w:tcMar>
          </w:tcPr>
          <w:p>
            <w:r>
              <w:rPr>
                <w:sz w:val="16"/>
                <w:szCs w:val="16"/>
              </w:rPr>
              <w:t xml:space="preserve">Item solicitation is the bulk of it</w:t>
            </w:r>
          </w:p>
        </w:tc>
      </w:tr>
    </w:tbl>
    <w:p>
      <w:pPr>
        <w:spacing w:after="100"/>
      </w:pPr>
      <w:r>
        <w:rPr>
          <w:sz w:val="10"/>
          <w:szCs w:val="10"/>
        </w:rPr>
        <w:t xml:space="preserve"/>
      </w:r>
    </w:p>
    <w:p>
      <w:pPr>
        <w:spacing w:after="150"/>
      </w:pPr>
      <w:r>
        <w:rPr>
          <w:sz w:val="20"/>
          <w:szCs w:val="20"/>
        </w:rPr>
        <w:t xml:space="preserve">A first auction is as much a list-building exercise as a revenue event. Every registered bidder becomes a known supporter with an email address, which is worth more over time than the auction proceeds themselves.</w:t>
      </w:r>
    </w:p>
    <w:p>
      <w:pPr>
        <w:pageBreakBefore/>
        <w:pBdr>
          <w:bottom w:val="single" w:color="1F3D2B" w:sz="8" w:space="4"/>
        </w:pBdr>
        <w:spacing w:after="150" w:before="340"/>
      </w:pPr>
      <w:r>
        <w:rPr>
          <w:b/>
          <w:bCs/>
          <w:color w:val="1F3D2B"/>
          <w:sz w:val="27"/>
          <w:szCs w:val="27"/>
        </w:rPr>
        <w:t xml:space="preserve">2.  Compliance Framework</w:t>
      </w:r>
    </w:p>
    <w:p>
      <w:pPr>
        <w:spacing w:after="150"/>
      </w:pPr>
      <w:r>
        <w:rPr>
          <w:sz w:val="20"/>
          <w:szCs w:val="20"/>
        </w:rPr>
        <w:t xml:space="preserve">Five requirements govern this activity. None is difficult, all are easier to build in at the start than to retrofit, and every one requires counsel or CPA confirmation.</w:t>
      </w:r>
    </w:p>
    <w:p>
      <w:pPr>
        <w:spacing w:after="120" w:before="280"/>
      </w:pPr>
      <w:r>
        <w:rPr>
          <w:b/>
          <w:bCs/>
          <w:color w:val="1F3D2B"/>
          <w:sz w:val="23"/>
          <w:szCs w:val="23"/>
        </w:rPr>
        <w:t xml:space="preserve">2.1  Charitable solicitation registration</w:t>
      </w:r>
    </w:p>
    <w:p>
      <w:pPr>
        <w:pStyle w:val="ListParagraph"/>
        <w:numPr>
          <w:ilvl w:val="0"/>
          <w:numId w:val="2"/>
        </w:numPr>
      </w:pPr>
      <w:r>
        <w:rPr>
          <w:b/>
          <w:bCs/>
          <w:sz w:val="19"/>
          <w:szCs w:val="19"/>
        </w:rPr>
        <w:t xml:space="preserve">Florida. </w:t>
      </w:r>
      <w:r>
        <w:rPr>
          <w:sz w:val="19"/>
          <w:szCs w:val="19"/>
        </w:rPr>
        <w:t xml:space="preserve">Registration with the Department of Agriculture and Consumer Services is required before soliciting. An online auction is soliciting.</w:t>
      </w:r>
    </w:p>
    <w:p>
      <w:pPr>
        <w:pStyle w:val="ListParagraph"/>
        <w:numPr>
          <w:ilvl w:val="0"/>
          <w:numId w:val="2"/>
        </w:numPr>
      </w:pPr>
      <w:r>
        <w:rPr>
          <w:b/>
          <w:bCs/>
          <w:sz w:val="19"/>
          <w:szCs w:val="19"/>
        </w:rPr>
        <w:t xml:space="preserve">Other states. </w:t>
      </w:r>
      <w:r>
        <w:rPr>
          <w:sz w:val="19"/>
          <w:szCs w:val="19"/>
        </w:rPr>
        <w:t xml:space="preserve">Most states require registration to solicit their residents, and an open online auction solicits everywhere a bidder sits. Multi-state registration is a real administrative and financial cost.</w:t>
      </w:r>
    </w:p>
    <w:p>
      <w:pPr>
        <w:pStyle w:val="ListParagraph"/>
        <w:numPr>
          <w:ilvl w:val="0"/>
          <w:numId w:val="2"/>
        </w:numPr>
      </w:pPr>
      <w:r>
        <w:rPr>
          <w:b/>
          <w:bCs/>
          <w:sz w:val="19"/>
          <w:szCs w:val="19"/>
        </w:rPr>
        <w:t xml:space="preserve">Practical first-auction answer. </w:t>
      </w:r>
      <w:r>
        <w:rPr>
          <w:sz w:val="19"/>
          <w:szCs w:val="19"/>
        </w:rPr>
        <w:t xml:space="preserve">Register in Florida and consider restricting bidding to Florida residents for the first event. This materially reduces exposure while the programme is proven. Confirm the approach with counsel.</w:t>
      </w:r>
    </w:p>
    <w:p>
      <w:pPr>
        <w:pStyle w:val="ListParagraph"/>
        <w:numPr>
          <w:ilvl w:val="0"/>
          <w:numId w:val="2"/>
        </w:numPr>
      </w:pPr>
      <w:r>
        <w:rPr>
          <w:b/>
          <w:bCs/>
          <w:sz w:val="19"/>
          <w:szCs w:val="19"/>
        </w:rPr>
        <w:t xml:space="preserve">Pending exemption note. </w:t>
      </w:r>
      <w:r>
        <w:rPr>
          <w:sz w:val="19"/>
          <w:szCs w:val="19"/>
        </w:rPr>
        <w:t xml:space="preserve">Solicitation may proceed while the Form 1023 is pending, with appropriate disclosure that the application is pending and that deductibility depends on approval.</w:t>
      </w:r>
    </w:p>
    <w:p>
      <w:pPr>
        <w:spacing w:after="120" w:before="280"/>
      </w:pPr>
      <w:r>
        <w:rPr>
          <w:b/>
          <w:bCs/>
          <w:color w:val="1F3D2B"/>
          <w:sz w:val="23"/>
          <w:szCs w:val="23"/>
        </w:rPr>
        <w:t xml:space="preserve">2.2  Quid pro quo disclosure — the item most often missed</w:t>
      </w:r>
    </w:p>
    <w:p>
      <w:pPr>
        <w:pBdr>
          <w:top w:val="single" w:color="EDF1EE" w:sz="2" w:space="8"/>
          <w:bottom w:val="single" w:color="EDF1EE" w:sz="2" w:space="8"/>
          <w:left w:val="single" w:color="1F3D2B" w:sz="18" w:space="8"/>
          <w:right w:val="single" w:color="EDF1EE" w:sz="2" w:space="8"/>
        </w:pBdr>
        <w:shd w:fill="EDF1EE" w:val="clear"/>
        <w:spacing w:after="180" w:before="160"/>
      </w:pPr>
      <w:r>
        <w:rPr>
          <w:b/>
          <w:bCs/>
          <w:color w:val="1F3D2B"/>
          <w:sz w:val="19"/>
          <w:szCs w:val="19"/>
        </w:rPr>
        <w:t xml:space="preserve">STATUTORY REQUIREMENT  </w:t>
      </w:r>
      <w:r>
        <w:rPr>
          <w:sz w:val="19"/>
          <w:szCs w:val="19"/>
        </w:rPr>
        <w:t xml:space="preserve">Under Internal Revenue Code § 6115, where a donor pays more than $75 and receives goods or services in return, the organisation must provide a written statement identifying the amount deductible — which is only the excess over the fair market value of what the donor received. An auction purchase is a quid pro quo contribution. This obligation is not optional and carries penalties.</w:t>
      </w:r>
    </w:p>
    <w:p>
      <w:pPr>
        <w:spacing w:after="150"/>
      </w:pPr>
      <w:r>
        <w:rPr>
          <w:sz w:val="20"/>
          <w:szCs w:val="20"/>
        </w:rPr>
        <w:t xml:space="preserve">The practical consequence drives the entire listing design:</w:t>
      </w:r>
    </w:p>
    <w:p>
      <w:pPr>
        <w:spacing w:after="80"/>
        <w:ind w:left="431" w:hanging="316"/>
      </w:pPr>
      <w:r>
        <w:rPr>
          <w:b/>
          <w:bCs/>
          <w:sz w:val="19"/>
          <w:szCs w:val="19"/>
        </w:rPr>
        <w:t xml:space="preserve">1.  </w:t>
      </w:r>
      <w:r>
        <w:rPr>
          <w:sz w:val="19"/>
          <w:szCs w:val="19"/>
        </w:rPr>
        <w:t xml:space="preserve">A good-faith fair market value estimate must be published for every item before bidding opens.</w:t>
      </w:r>
    </w:p>
    <w:p>
      <w:pPr>
        <w:spacing w:after="80"/>
        <w:ind w:left="431" w:hanging="316"/>
      </w:pPr>
      <w:r>
        <w:rPr>
          <w:b/>
          <w:bCs/>
          <w:sz w:val="19"/>
          <w:szCs w:val="19"/>
        </w:rPr>
        <w:t xml:space="preserve">2.  </w:t>
      </w:r>
      <w:r>
        <w:rPr>
          <w:sz w:val="19"/>
          <w:szCs w:val="19"/>
        </w:rPr>
        <w:t xml:space="preserve">Every winning bidder receives a written statement showing the amount paid, the stated FMV, and the deductible excess.</w:t>
      </w:r>
    </w:p>
    <w:p>
      <w:pPr>
        <w:spacing w:after="80"/>
        <w:ind w:left="431" w:hanging="316"/>
      </w:pPr>
      <w:r>
        <w:rPr>
          <w:b/>
          <w:bCs/>
          <w:sz w:val="19"/>
          <w:szCs w:val="19"/>
        </w:rPr>
        <w:t xml:space="preserve">3.  </w:t>
      </w:r>
      <w:r>
        <w:rPr>
          <w:sz w:val="19"/>
          <w:szCs w:val="19"/>
        </w:rPr>
        <w:t xml:space="preserve">A jersey with a $400 stated FMV that sells for $700 yields a $300 deductible contribution, and the receipt must say so.</w:t>
      </w:r>
    </w:p>
    <w:p>
      <w:pPr>
        <w:spacing w:after="80"/>
        <w:ind w:left="431" w:hanging="316"/>
      </w:pPr>
      <w:r>
        <w:rPr>
          <w:b/>
          <w:bCs/>
          <w:sz w:val="19"/>
          <w:szCs w:val="19"/>
        </w:rPr>
        <w:t xml:space="preserve">4.  </w:t>
      </w:r>
      <w:r>
        <w:rPr>
          <w:sz w:val="19"/>
          <w:szCs w:val="19"/>
        </w:rPr>
        <w:t xml:space="preserve">Items sold at or below FMV produce no deductible contribution, and the receipt should say that too.</w:t>
      </w:r>
    </w:p>
    <w:p>
      <w:pPr>
        <w:spacing w:after="150"/>
      </w:pPr>
      <w:r>
        <w:rPr>
          <w:sz w:val="20"/>
          <w:szCs w:val="20"/>
        </w:rPr>
        <w:t xml:space="preserve">Build the FMV field into the listing template from the first item. Retrofitting values after bidding has opened is impractical and undermines the estimates.</w:t>
      </w:r>
    </w:p>
    <w:p>
      <w:pPr>
        <w:spacing w:after="120" w:before="280"/>
      </w:pPr>
      <w:r>
        <w:rPr>
          <w:b/>
          <w:bCs/>
          <w:color w:val="1F3D2B"/>
          <w:sz w:val="23"/>
          <w:szCs w:val="23"/>
        </w:rPr>
        <w:t xml:space="preserve">2.3  Restricted funds</w:t>
      </w:r>
    </w:p>
    <w:p>
      <w:pPr>
        <w:spacing w:after="150"/>
      </w:pPr>
      <w:r>
        <w:rPr>
          <w:sz w:val="20"/>
          <w:szCs w:val="20"/>
        </w:rPr>
        <w:t xml:space="preserve">If the auction states that proceeds support helmet safety or athlete injury prevention research, the proceeds are restricted to that purpose. This is desirable — a specific ask converts better than a general one — but it creates an obligation.</w:t>
      </w:r>
    </w:p>
    <w:p>
      <w:pPr>
        <w:pStyle w:val="ListParagraph"/>
        <w:numPr>
          <w:ilvl w:val="0"/>
          <w:numId w:val="3"/>
        </w:numPr>
      </w:pPr>
      <w:r>
        <w:rPr>
          <w:sz w:val="19"/>
          <w:szCs w:val="19"/>
        </w:rPr>
        <w:t xml:space="preserve">Track auction proceeds in a separate fund or class from general operating revenue.</w:t>
      </w:r>
    </w:p>
    <w:p>
      <w:pPr>
        <w:pStyle w:val="ListParagraph"/>
        <w:numPr>
          <w:ilvl w:val="0"/>
          <w:numId w:val="3"/>
        </w:numPr>
      </w:pPr>
      <w:r>
        <w:rPr>
          <w:sz w:val="19"/>
          <w:szCs w:val="19"/>
        </w:rPr>
        <w:t xml:space="preserve">Expend them only on the stated purpose.</w:t>
      </w:r>
    </w:p>
    <w:p>
      <w:pPr>
        <w:pStyle w:val="ListParagraph"/>
        <w:numPr>
          <w:ilvl w:val="0"/>
          <w:numId w:val="3"/>
        </w:numPr>
      </w:pPr>
      <w:r>
        <w:rPr>
          <w:sz w:val="19"/>
          <w:szCs w:val="19"/>
        </w:rPr>
        <w:t xml:space="preserve">Report on their use to donors, which also builds the list for the next event.</w:t>
      </w:r>
    </w:p>
    <w:p>
      <w:pPr>
        <w:pStyle w:val="ListParagraph"/>
        <w:numPr>
          <w:ilvl w:val="0"/>
          <w:numId w:val="3"/>
        </w:numPr>
      </w:pPr>
      <w:r>
        <w:rPr>
          <w:sz w:val="19"/>
          <w:szCs w:val="19"/>
        </w:rPr>
        <w:t xml:space="preserve">Confirm the accounting treatment with the CPA before launch.</w:t>
      </w:r>
    </w:p>
    <w:p>
      <w:pPr>
        <w:spacing w:after="120" w:before="280"/>
      </w:pPr>
      <w:r>
        <w:rPr>
          <w:b/>
          <w:bCs/>
          <w:color w:val="1F3D2B"/>
          <w:sz w:val="23"/>
          <w:szCs w:val="23"/>
        </w:rPr>
        <w:t xml:space="preserve">2.4  Authenticity — the largest reputational exposure</w:t>
      </w:r>
    </w:p>
    <w:p>
      <w:pPr>
        <w:spacing w:after="150"/>
      </w:pPr>
      <w:r>
        <w:rPr>
          <w:sz w:val="20"/>
          <w:szCs w:val="20"/>
        </w:rPr>
        <w:t xml:space="preserve">Sports memorabilia forgery is widespread and sophisticated. Selling a forged item, even unknowingly, causes damage far exceeding the value of the item, and a first auction establishes the organisation’s reputation.</w:t>
      </w:r>
    </w:p>
    <w:p>
      <w:pPr>
        <w:pStyle w:val="ListParagraph"/>
        <w:numPr>
          <w:ilvl w:val="0"/>
          <w:numId w:val="4"/>
        </w:numPr>
      </w:pPr>
      <w:r>
        <w:rPr>
          <w:b/>
          <w:bCs/>
          <w:sz w:val="19"/>
          <w:szCs w:val="19"/>
        </w:rPr>
        <w:t xml:space="preserve">Accept only certified or documented items. </w:t>
      </w:r>
      <w:r>
        <w:rPr>
          <w:sz w:val="19"/>
          <w:szCs w:val="19"/>
        </w:rPr>
        <w:t xml:space="preserve">Third-party authentication from a recognised authenticator, or documented provenance direct from the athlete, team, or manufacturer.</w:t>
      </w:r>
    </w:p>
    <w:p>
      <w:pPr>
        <w:pStyle w:val="ListParagraph"/>
        <w:numPr>
          <w:ilvl w:val="0"/>
          <w:numId w:val="4"/>
        </w:numPr>
      </w:pPr>
      <w:r>
        <w:rPr>
          <w:b/>
          <w:bCs/>
          <w:sz w:val="19"/>
          <w:szCs w:val="19"/>
        </w:rPr>
        <w:t xml:space="preserve">Direct-from-source is strongest. </w:t>
      </w:r>
      <w:r>
        <w:rPr>
          <w:sz w:val="19"/>
          <w:szCs w:val="19"/>
        </w:rPr>
        <w:t xml:space="preserve">An item donated by the team or the athlete carries its own provenance and avoids the secondary market entirely.</w:t>
      </w:r>
    </w:p>
    <w:p>
      <w:pPr>
        <w:pStyle w:val="ListParagraph"/>
        <w:numPr>
          <w:ilvl w:val="0"/>
          <w:numId w:val="4"/>
        </w:numPr>
      </w:pPr>
      <w:r>
        <w:rPr>
          <w:b/>
          <w:bCs/>
          <w:sz w:val="19"/>
          <w:szCs w:val="19"/>
        </w:rPr>
        <w:t xml:space="preserve">Publish the authentication basis </w:t>
      </w:r>
      <w:r>
        <w:rPr>
          <w:sz w:val="19"/>
          <w:szCs w:val="19"/>
        </w:rPr>
        <w:t xml:space="preserve">in every listing. Bidders pay more when provenance is stated.</w:t>
      </w:r>
    </w:p>
    <w:p>
      <w:pPr>
        <w:pStyle w:val="ListParagraph"/>
        <w:numPr>
          <w:ilvl w:val="0"/>
          <w:numId w:val="4"/>
        </w:numPr>
      </w:pPr>
      <w:r>
        <w:rPr>
          <w:b/>
          <w:bCs/>
          <w:sz w:val="19"/>
          <w:szCs w:val="19"/>
        </w:rPr>
        <w:t xml:space="preserve">Decline anything uncertain. </w:t>
      </w:r>
      <w:r>
        <w:rPr>
          <w:sz w:val="19"/>
          <w:szCs w:val="19"/>
        </w:rPr>
        <w:t xml:space="preserve">The item is never worth the risk.</w:t>
      </w:r>
    </w:p>
    <w:p>
      <w:pPr>
        <w:spacing w:after="120" w:before="280"/>
      </w:pPr>
      <w:r>
        <w:rPr>
          <w:b/>
          <w:bCs/>
          <w:color w:val="1F3D2B"/>
          <w:sz w:val="23"/>
          <w:szCs w:val="23"/>
        </w:rPr>
        <w:t xml:space="preserve">2.5  Terminology and tax</w:t>
      </w:r>
    </w:p>
    <w:p>
      <w:pPr>
        <w:pStyle w:val="ListParagraph"/>
        <w:numPr>
          <w:ilvl w:val="0"/>
          <w:numId w:val="5"/>
        </w:numPr>
      </w:pPr>
      <w:r>
        <w:rPr>
          <w:b/>
          <w:bCs/>
          <w:sz w:val="19"/>
          <w:szCs w:val="19"/>
        </w:rPr>
        <w:t xml:space="preserve">Do not call it a raffle. </w:t>
      </w:r>
      <w:r>
        <w:rPr>
          <w:sz w:val="19"/>
          <w:szCs w:val="19"/>
        </w:rPr>
        <w:t xml:space="preserve">Raffles are regulated as gambling under Florida law with entirely separate requirements. An auction is an auction. Avoid raffle mechanics, drawings, and chance-based elements.</w:t>
      </w:r>
    </w:p>
    <w:p>
      <w:pPr>
        <w:pStyle w:val="ListParagraph"/>
        <w:numPr>
          <w:ilvl w:val="0"/>
          <w:numId w:val="5"/>
        </w:numPr>
      </w:pPr>
      <w:r>
        <w:rPr>
          <w:b/>
          <w:bCs/>
          <w:sz w:val="19"/>
          <w:szCs w:val="19"/>
        </w:rPr>
        <w:t xml:space="preserve">Sales tax. </w:t>
      </w:r>
      <w:r>
        <w:rPr>
          <w:sz w:val="19"/>
          <w:szCs w:val="19"/>
        </w:rPr>
        <w:t xml:space="preserve">Florida sales tax may apply to auction sales. Confirm with the CPA before launch, not after.</w:t>
      </w:r>
    </w:p>
    <w:p>
      <w:pPr>
        <w:pStyle w:val="ListParagraph"/>
        <w:numPr>
          <w:ilvl w:val="0"/>
          <w:numId w:val="5"/>
        </w:numPr>
      </w:pPr>
      <w:r>
        <w:rPr>
          <w:b/>
          <w:bCs/>
          <w:sz w:val="19"/>
          <w:szCs w:val="19"/>
        </w:rPr>
        <w:t xml:space="preserve">Donor deductions above $5,000. </w:t>
      </w:r>
      <w:r>
        <w:rPr>
          <w:sz w:val="19"/>
          <w:szCs w:val="19"/>
        </w:rPr>
        <w:t xml:space="preserve">Items donated at a claimed value above $5,000 require a qualified appraisal and Form 8283 from the donor. If CFL sells such an item within three years, CFL files Form 8282.</w:t>
      </w:r>
    </w:p>
    <w:p>
      <w:pPr>
        <w:pStyle w:val="ListParagraph"/>
        <w:numPr>
          <w:ilvl w:val="0"/>
          <w:numId w:val="5"/>
        </w:numPr>
      </w:pPr>
      <w:r>
        <w:rPr>
          <w:b/>
          <w:bCs/>
          <w:sz w:val="19"/>
          <w:szCs w:val="19"/>
        </w:rPr>
        <w:t xml:space="preserve">Donor basis limitation. </w:t>
      </w:r>
      <w:r>
        <w:rPr>
          <w:sz w:val="19"/>
          <w:szCs w:val="19"/>
        </w:rPr>
        <w:t xml:space="preserve">A donor’s deduction for donated tangible personal property is frequently limited to their cost basis rather than fair market value. This surprises donors. Direct every donor to their own tax advisor and do not advise them.</w:t>
      </w:r>
    </w:p>
    <w:p>
      <w:pPr>
        <w:pageBreakBefore/>
        <w:pBdr>
          <w:bottom w:val="single" w:color="1F3D2B" w:sz="8" w:space="4"/>
        </w:pBdr>
        <w:spacing w:after="150" w:before="340"/>
      </w:pPr>
      <w:r>
        <w:rPr>
          <w:b/>
          <w:bCs/>
          <w:color w:val="1F3D2B"/>
          <w:sz w:val="27"/>
          <w:szCs w:val="27"/>
        </w:rPr>
        <w:t xml:space="preserve">3.  Platform Selection</w:t>
      </w:r>
    </w:p>
    <w:p>
      <w:pPr>
        <w:spacing w:after="150"/>
      </w:pPr>
      <w:r>
        <w:rPr>
          <w:sz w:val="20"/>
          <w:szCs w:val="20"/>
        </w:rPr>
        <w:t xml:space="preserve">Pricing models fall into four categories: annual subscription plus transaction fees; per-event flat fee plus transaction fees; free with higher transaction fees or donor tips; and flat subscription with no take rate. The right model depends entirely on expected gross.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1600"/>
        <w:gridCol w:w="1900"/>
        <w:gridCol w:w="2800"/>
        <w:gridCol w:w="3100"/>
      </w:tblGrid>
      <w:tr>
        <w:trPr>
          <w:tblHeader/>
        </w:trPr>
        <w:tc>
          <w:tcPr>
            <w:tcW w:type="dxa" w:w="1600"/>
            <w:shd w:fill="EDF1EE" w:val="clear"/>
            <w:tcMar>
              <w:top w:type="dxa" w:w="70"/>
              <w:left w:type="dxa" w:w="90"/>
              <w:bottom w:type="dxa" w:w="70"/>
              <w:right w:type="dxa" w:w="90"/>
            </w:tcMar>
          </w:tcPr>
          <w:p>
            <w:r>
              <w:rPr>
                <w:b/>
                <w:bCs/>
                <w:sz w:val="16"/>
                <w:szCs w:val="16"/>
              </w:rPr>
              <w:t xml:space="preserve">Platform</w:t>
            </w:r>
          </w:p>
        </w:tc>
        <w:tc>
          <w:tcPr>
            <w:tcW w:type="dxa" w:w="1900"/>
            <w:shd w:fill="EDF1EE" w:val="clear"/>
            <w:tcMar>
              <w:top w:type="dxa" w:w="70"/>
              <w:left w:type="dxa" w:w="90"/>
              <w:bottom w:type="dxa" w:w="70"/>
              <w:right w:type="dxa" w:w="90"/>
            </w:tcMar>
          </w:tcPr>
          <w:p>
            <w:r>
              <w:rPr>
                <w:b/>
                <w:bCs/>
                <w:sz w:val="16"/>
                <w:szCs w:val="16"/>
              </w:rPr>
              <w:t xml:space="preserve">Cost model</w:t>
            </w:r>
          </w:p>
        </w:tc>
        <w:tc>
          <w:tcPr>
            <w:tcW w:type="dxa" w:w="2800"/>
            <w:shd w:fill="EDF1EE" w:val="clear"/>
            <w:tcMar>
              <w:top w:type="dxa" w:w="70"/>
              <w:left w:type="dxa" w:w="90"/>
              <w:bottom w:type="dxa" w:w="70"/>
              <w:right w:type="dxa" w:w="90"/>
            </w:tcMar>
          </w:tcPr>
          <w:p>
            <w:r>
              <w:rPr>
                <w:b/>
                <w:bCs/>
                <w:sz w:val="16"/>
                <w:szCs w:val="16"/>
              </w:rPr>
              <w:t xml:space="preserve">Reported pricing</w:t>
            </w:r>
          </w:p>
        </w:tc>
        <w:tc>
          <w:tcPr>
            <w:tcW w:type="dxa" w:w="3100"/>
            <w:shd w:fill="EDF1EE" w:val="clear"/>
            <w:tcMar>
              <w:top w:type="dxa" w:w="70"/>
              <w:left w:type="dxa" w:w="90"/>
              <w:bottom w:type="dxa" w:w="70"/>
              <w:right w:type="dxa" w:w="90"/>
            </w:tcMar>
          </w:tcPr>
          <w:p>
            <w:r>
              <w:rPr>
                <w:b/>
                <w:bCs/>
                <w:sz w:val="16"/>
                <w:szCs w:val="16"/>
              </w:rPr>
              <w:t xml:space="preserve">Fit for CFL</w:t>
            </w:r>
          </w:p>
        </w:tc>
      </w:tr>
      <w:tr>
        <w:tc>
          <w:tcPr>
            <w:tcW w:type="dxa" w:w="1600"/>
            <w:tcMar>
              <w:top w:type="dxa" w:w="70"/>
              <w:left w:type="dxa" w:w="90"/>
              <w:bottom w:type="dxa" w:w="70"/>
              <w:right w:type="dxa" w:w="90"/>
            </w:tcMar>
          </w:tcPr>
          <w:p>
            <w:r>
              <w:rPr>
                <w:sz w:val="16"/>
                <w:szCs w:val="16"/>
              </w:rPr>
              <w:t xml:space="preserve">BetterWorld</w:t>
            </w:r>
          </w:p>
        </w:tc>
        <w:tc>
          <w:tcPr>
            <w:tcW w:type="dxa" w:w="1900"/>
            <w:tcMar>
              <w:top w:type="dxa" w:w="70"/>
              <w:left w:type="dxa" w:w="90"/>
              <w:bottom w:type="dxa" w:w="70"/>
              <w:right w:type="dxa" w:w="90"/>
            </w:tcMar>
          </w:tcPr>
          <w:p>
            <w:r>
              <w:rPr>
                <w:sz w:val="16"/>
                <w:szCs w:val="16"/>
              </w:rPr>
              <w:t xml:space="preserve">Free; revenue from optional donor tips</w:t>
            </w:r>
          </w:p>
        </w:tc>
        <w:tc>
          <w:tcPr>
            <w:tcW w:type="dxa" w:w="2800"/>
            <w:tcMar>
              <w:top w:type="dxa" w:w="70"/>
              <w:left w:type="dxa" w:w="90"/>
              <w:bottom w:type="dxa" w:w="70"/>
              <w:right w:type="dxa" w:w="90"/>
            </w:tcMar>
          </w:tcPr>
          <w:p>
            <w:r>
              <w:rPr>
                <w:sz w:val="16"/>
                <w:szCs w:val="16"/>
              </w:rPr>
              <w:t xml:space="preserve">Zero platform fee. Processing approximately 1.5–2.9% + $0.30</w:t>
            </w:r>
          </w:p>
        </w:tc>
        <w:tc>
          <w:tcPr>
            <w:tcW w:type="dxa" w:w="3100"/>
            <w:tcMar>
              <w:top w:type="dxa" w:w="70"/>
              <w:left w:type="dxa" w:w="90"/>
              <w:bottom w:type="dxa" w:w="70"/>
              <w:right w:type="dxa" w:w="90"/>
            </w:tcMar>
          </w:tcPr>
          <w:p>
            <w:r>
              <w:rPr>
                <w:sz w:val="16"/>
                <w:szCs w:val="16"/>
              </w:rPr>
              <w:t xml:space="preserve">STRONG for a first auction. Note that bidders are prompted to tip the platform, which some find off-putting; the prompt can reportedly be disabled.</w:t>
            </w:r>
          </w:p>
        </w:tc>
      </w:tr>
      <w:tr>
        <w:tc>
          <w:tcPr>
            <w:tcW w:type="dxa" w:w="1600"/>
            <w:tcMar>
              <w:top w:type="dxa" w:w="70"/>
              <w:left w:type="dxa" w:w="90"/>
              <w:bottom w:type="dxa" w:w="70"/>
              <w:right w:type="dxa" w:w="90"/>
            </w:tcMar>
          </w:tcPr>
          <w:p>
            <w:r>
              <w:rPr>
                <w:sz w:val="16"/>
                <w:szCs w:val="16"/>
              </w:rPr>
              <w:t xml:space="preserve">Auctria</w:t>
            </w:r>
          </w:p>
        </w:tc>
        <w:tc>
          <w:tcPr>
            <w:tcW w:type="dxa" w:w="1900"/>
            <w:tcMar>
              <w:top w:type="dxa" w:w="70"/>
              <w:left w:type="dxa" w:w="90"/>
              <w:bottom w:type="dxa" w:w="70"/>
              <w:right w:type="dxa" w:w="90"/>
            </w:tcMar>
          </w:tcPr>
          <w:p>
            <w:r>
              <w:rPr>
                <w:sz w:val="16"/>
                <w:szCs w:val="16"/>
              </w:rPr>
              <w:t xml:space="preserve">Free tier, then tiered subscription</w:t>
            </w:r>
          </w:p>
        </w:tc>
        <w:tc>
          <w:tcPr>
            <w:tcW w:type="dxa" w:w="2800"/>
            <w:tcMar>
              <w:top w:type="dxa" w:w="70"/>
              <w:left w:type="dxa" w:w="90"/>
              <w:bottom w:type="dxa" w:w="70"/>
              <w:right w:type="dxa" w:w="90"/>
            </w:tcMar>
          </w:tcPr>
          <w:p>
            <w:r>
              <w:rPr>
                <w:sz w:val="16"/>
                <w:szCs w:val="16"/>
              </w:rPr>
              <w:t xml:space="preserve">Free tier limited to events raising $10,000 or less per year. Diamond tier $750/year, 0.25% fee</w:t>
            </w:r>
          </w:p>
        </w:tc>
        <w:tc>
          <w:tcPr>
            <w:tcW w:type="dxa" w:w="3100"/>
            <w:tcMar>
              <w:top w:type="dxa" w:w="70"/>
              <w:left w:type="dxa" w:w="90"/>
              <w:bottom w:type="dxa" w:w="70"/>
              <w:right w:type="dxa" w:w="90"/>
            </w:tcMar>
          </w:tcPr>
          <w:p>
            <w:r>
              <w:rPr>
                <w:sz w:val="16"/>
                <w:szCs w:val="16"/>
              </w:rPr>
              <w:t xml:space="preserve">STRONG. Free tier fits a first auction; clear upgrade path. Stripe or Authorize.Net processing.</w:t>
            </w:r>
          </w:p>
        </w:tc>
      </w:tr>
      <w:tr>
        <w:tc>
          <w:tcPr>
            <w:tcW w:type="dxa" w:w="1600"/>
            <w:tcMar>
              <w:top w:type="dxa" w:w="70"/>
              <w:left w:type="dxa" w:w="90"/>
              <w:bottom w:type="dxa" w:w="70"/>
              <w:right w:type="dxa" w:w="90"/>
            </w:tcMar>
          </w:tcPr>
          <w:p>
            <w:r>
              <w:rPr>
                <w:sz w:val="16"/>
                <w:szCs w:val="16"/>
              </w:rPr>
              <w:t xml:space="preserve">Charity Auctions Today</w:t>
            </w:r>
          </w:p>
        </w:tc>
        <w:tc>
          <w:tcPr>
            <w:tcW w:type="dxa" w:w="1900"/>
            <w:tcMar>
              <w:top w:type="dxa" w:w="70"/>
              <w:left w:type="dxa" w:w="90"/>
              <w:bottom w:type="dxa" w:w="70"/>
              <w:right w:type="dxa" w:w="90"/>
            </w:tcMar>
          </w:tcPr>
          <w:p>
            <w:r>
              <w:rPr>
                <w:sz w:val="16"/>
                <w:szCs w:val="16"/>
              </w:rPr>
              <w:t xml:space="preserve">Free plan with higher platform fee</w:t>
            </w:r>
          </w:p>
        </w:tc>
        <w:tc>
          <w:tcPr>
            <w:tcW w:type="dxa" w:w="2800"/>
            <w:tcMar>
              <w:top w:type="dxa" w:w="70"/>
              <w:left w:type="dxa" w:w="90"/>
              <w:bottom w:type="dxa" w:w="70"/>
              <w:right w:type="dxa" w:w="90"/>
            </w:tcMar>
          </w:tcPr>
          <w:p>
            <w:r>
              <w:rPr>
                <w:sz w:val="16"/>
                <w:szCs w:val="16"/>
              </w:rPr>
              <w:t xml:space="preserve">5% platform fee plus 2.9% + $0.30 processing</w:t>
            </w:r>
          </w:p>
        </w:tc>
        <w:tc>
          <w:tcPr>
            <w:tcW w:type="dxa" w:w="3100"/>
            <w:tcMar>
              <w:top w:type="dxa" w:w="70"/>
              <w:left w:type="dxa" w:w="90"/>
              <w:bottom w:type="dxa" w:w="70"/>
              <w:right w:type="dxa" w:w="90"/>
            </w:tcMar>
          </w:tcPr>
          <w:p>
            <w:r>
              <w:rPr>
                <w:sz w:val="16"/>
                <w:szCs w:val="16"/>
              </w:rPr>
              <w:t xml:space="preserve">Workable. Higher take rate but no upfront cost.</w:t>
            </w:r>
          </w:p>
        </w:tc>
      </w:tr>
      <w:tr>
        <w:tc>
          <w:tcPr>
            <w:tcW w:type="dxa" w:w="1600"/>
            <w:tcMar>
              <w:top w:type="dxa" w:w="70"/>
              <w:left w:type="dxa" w:w="90"/>
              <w:bottom w:type="dxa" w:w="70"/>
              <w:right w:type="dxa" w:w="90"/>
            </w:tcMar>
          </w:tcPr>
          <w:p>
            <w:r>
              <w:rPr>
                <w:sz w:val="16"/>
                <w:szCs w:val="16"/>
              </w:rPr>
              <w:t xml:space="preserve">Givebutter</w:t>
            </w:r>
          </w:p>
        </w:tc>
        <w:tc>
          <w:tcPr>
            <w:tcW w:type="dxa" w:w="1900"/>
            <w:tcMar>
              <w:top w:type="dxa" w:w="70"/>
              <w:left w:type="dxa" w:w="90"/>
              <w:bottom w:type="dxa" w:w="70"/>
              <w:right w:type="dxa" w:w="90"/>
            </w:tcMar>
          </w:tcPr>
          <w:p>
            <w:r>
              <w:rPr>
                <w:sz w:val="16"/>
                <w:szCs w:val="16"/>
              </w:rPr>
              <w:t xml:space="preserve">No platform fee when donors tip</w:t>
            </w:r>
          </w:p>
        </w:tc>
        <w:tc>
          <w:tcPr>
            <w:tcW w:type="dxa" w:w="2800"/>
            <w:tcMar>
              <w:top w:type="dxa" w:w="70"/>
              <w:left w:type="dxa" w:w="90"/>
              <w:bottom w:type="dxa" w:w="70"/>
              <w:right w:type="dxa" w:w="90"/>
            </w:tcMar>
          </w:tcPr>
          <w:p>
            <w:r>
              <w:rPr>
                <w:sz w:val="16"/>
                <w:szCs w:val="16"/>
              </w:rPr>
              <w:t xml:space="preserve">Processing 2.9% + $0.30</w:t>
            </w:r>
          </w:p>
        </w:tc>
        <w:tc>
          <w:tcPr>
            <w:tcW w:type="dxa" w:w="3100"/>
            <w:tcMar>
              <w:top w:type="dxa" w:w="70"/>
              <w:left w:type="dxa" w:w="90"/>
              <w:bottom w:type="dxa" w:w="70"/>
              <w:right w:type="dxa" w:w="90"/>
            </w:tcMar>
          </w:tcPr>
          <w:p>
            <w:r>
              <w:rPr>
                <w:sz w:val="16"/>
                <w:szCs w:val="16"/>
              </w:rPr>
              <w:t xml:space="preserve">Workable. Broad fundraising toolset beyond auctions.</w:t>
            </w:r>
          </w:p>
        </w:tc>
      </w:tr>
      <w:tr>
        <w:tc>
          <w:tcPr>
            <w:tcW w:type="dxa" w:w="1600"/>
            <w:tcMar>
              <w:top w:type="dxa" w:w="70"/>
              <w:left w:type="dxa" w:w="90"/>
              <w:bottom w:type="dxa" w:w="70"/>
              <w:right w:type="dxa" w:w="90"/>
            </w:tcMar>
          </w:tcPr>
          <w:p>
            <w:r>
              <w:rPr>
                <w:sz w:val="16"/>
                <w:szCs w:val="16"/>
              </w:rPr>
              <w:t xml:space="preserve">Handbid</w:t>
            </w:r>
          </w:p>
        </w:tc>
        <w:tc>
          <w:tcPr>
            <w:tcW w:type="dxa" w:w="1900"/>
            <w:tcMar>
              <w:top w:type="dxa" w:w="70"/>
              <w:left w:type="dxa" w:w="90"/>
              <w:bottom w:type="dxa" w:w="70"/>
              <w:right w:type="dxa" w:w="90"/>
            </w:tcMar>
          </w:tcPr>
          <w:p>
            <w:r>
              <w:rPr>
                <w:sz w:val="16"/>
                <w:szCs w:val="16"/>
              </w:rPr>
              <w:t xml:space="preserve">Per-event flat fee</w:t>
            </w:r>
          </w:p>
        </w:tc>
        <w:tc>
          <w:tcPr>
            <w:tcW w:type="dxa" w:w="2800"/>
            <w:tcMar>
              <w:top w:type="dxa" w:w="70"/>
              <w:left w:type="dxa" w:w="90"/>
              <w:bottom w:type="dxa" w:w="70"/>
              <w:right w:type="dxa" w:w="90"/>
            </w:tcMar>
          </w:tcPr>
          <w:p>
            <w:r>
              <w:rPr>
                <w:sz w:val="16"/>
                <w:szCs w:val="16"/>
              </w:rPr>
              <w:t xml:space="preserve">From approximately $1,396–$1,999 for nonprofits, plus 3.5% + $0.30</w:t>
            </w:r>
          </w:p>
        </w:tc>
        <w:tc>
          <w:tcPr>
            <w:tcW w:type="dxa" w:w="3100"/>
            <w:tcMar>
              <w:top w:type="dxa" w:w="70"/>
              <w:left w:type="dxa" w:w="90"/>
              <w:bottom w:type="dxa" w:w="70"/>
              <w:right w:type="dxa" w:w="90"/>
            </w:tcMar>
          </w:tcPr>
          <w:p>
            <w:r>
              <w:rPr>
                <w:sz w:val="16"/>
                <w:szCs w:val="16"/>
              </w:rPr>
              <w:t xml:space="preserve">NOT YET. Strong mobile bidding, but the fee exceeds likely net on a first auction.</w:t>
            </w:r>
          </w:p>
        </w:tc>
      </w:tr>
      <w:tr>
        <w:tc>
          <w:tcPr>
            <w:tcW w:type="dxa" w:w="1600"/>
            <w:tcMar>
              <w:top w:type="dxa" w:w="70"/>
              <w:left w:type="dxa" w:w="90"/>
              <w:bottom w:type="dxa" w:w="70"/>
              <w:right w:type="dxa" w:w="90"/>
            </w:tcMar>
          </w:tcPr>
          <w:p>
            <w:r>
              <w:rPr>
                <w:sz w:val="16"/>
                <w:szCs w:val="16"/>
              </w:rPr>
              <w:t xml:space="preserve">GiveSmart</w:t>
            </w:r>
          </w:p>
        </w:tc>
        <w:tc>
          <w:tcPr>
            <w:tcW w:type="dxa" w:w="1900"/>
            <w:tcMar>
              <w:top w:type="dxa" w:w="70"/>
              <w:left w:type="dxa" w:w="90"/>
              <w:bottom w:type="dxa" w:w="70"/>
              <w:right w:type="dxa" w:w="90"/>
            </w:tcMar>
          </w:tcPr>
          <w:p>
            <w:r>
              <w:rPr>
                <w:sz w:val="16"/>
                <w:szCs w:val="16"/>
              </w:rPr>
              <w:t xml:space="preserve">Annual subscription</w:t>
            </w:r>
          </w:p>
        </w:tc>
        <w:tc>
          <w:tcPr>
            <w:tcW w:type="dxa" w:w="2800"/>
            <w:tcMar>
              <w:top w:type="dxa" w:w="70"/>
              <w:left w:type="dxa" w:w="90"/>
              <w:bottom w:type="dxa" w:w="70"/>
              <w:right w:type="dxa" w:w="90"/>
            </w:tcMar>
          </w:tcPr>
          <w:p>
            <w:r>
              <w:rPr>
                <w:sz w:val="16"/>
                <w:szCs w:val="16"/>
              </w:rPr>
              <w:t xml:space="preserve">Reported from approximately $2,395/year</w:t>
            </w:r>
          </w:p>
        </w:tc>
        <w:tc>
          <w:tcPr>
            <w:tcW w:type="dxa" w:w="3100"/>
            <w:tcMar>
              <w:top w:type="dxa" w:w="70"/>
              <w:left w:type="dxa" w:w="90"/>
              <w:bottom w:type="dxa" w:w="70"/>
              <w:right w:type="dxa" w:w="90"/>
            </w:tcMar>
          </w:tcPr>
          <w:p>
            <w:r>
              <w:rPr>
                <w:sz w:val="16"/>
                <w:szCs w:val="16"/>
              </w:rPr>
              <w:t xml:space="preserve">NOT YET. Built for established gala programmes.</w:t>
            </w:r>
          </w:p>
        </w:tc>
      </w:tr>
      <w:tr>
        <w:tc>
          <w:tcPr>
            <w:tcW w:type="dxa" w:w="1600"/>
            <w:tcMar>
              <w:top w:type="dxa" w:w="70"/>
              <w:left w:type="dxa" w:w="90"/>
              <w:bottom w:type="dxa" w:w="70"/>
              <w:right w:type="dxa" w:w="90"/>
            </w:tcMar>
          </w:tcPr>
          <w:p>
            <w:r>
              <w:rPr>
                <w:sz w:val="16"/>
                <w:szCs w:val="16"/>
              </w:rPr>
              <w:t xml:space="preserve">OneCause</w:t>
            </w:r>
          </w:p>
        </w:tc>
        <w:tc>
          <w:tcPr>
            <w:tcW w:type="dxa" w:w="1900"/>
            <w:tcMar>
              <w:top w:type="dxa" w:w="70"/>
              <w:left w:type="dxa" w:w="90"/>
              <w:bottom w:type="dxa" w:w="70"/>
              <w:right w:type="dxa" w:w="90"/>
            </w:tcMar>
          </w:tcPr>
          <w:p>
            <w:r>
              <w:rPr>
                <w:sz w:val="16"/>
                <w:szCs w:val="16"/>
              </w:rPr>
              <w:t xml:space="preserve">Annual subscription</w:t>
            </w:r>
          </w:p>
        </w:tc>
        <w:tc>
          <w:tcPr>
            <w:tcW w:type="dxa" w:w="2800"/>
            <w:tcMar>
              <w:top w:type="dxa" w:w="70"/>
              <w:left w:type="dxa" w:w="90"/>
              <w:bottom w:type="dxa" w:w="70"/>
              <w:right w:type="dxa" w:w="90"/>
            </w:tcMar>
          </w:tcPr>
          <w:p>
            <w:r>
              <w:rPr>
                <w:sz w:val="16"/>
                <w:szCs w:val="16"/>
              </w:rPr>
              <w:t xml:space="preserve">Subscription plus 2.9–3.5% transactions</w:t>
            </w:r>
          </w:p>
        </w:tc>
        <w:tc>
          <w:tcPr>
            <w:tcW w:type="dxa" w:w="3100"/>
            <w:tcMar>
              <w:top w:type="dxa" w:w="70"/>
              <w:left w:type="dxa" w:w="90"/>
              <w:bottom w:type="dxa" w:w="70"/>
              <w:right w:type="dxa" w:w="90"/>
            </w:tcMar>
          </w:tcPr>
          <w:p>
            <w:r>
              <w:rPr>
                <w:sz w:val="16"/>
                <w:szCs w:val="16"/>
              </w:rPr>
              <w:t xml:space="preserve">NOT YET.</w:t>
            </w:r>
          </w:p>
        </w:tc>
      </w:tr>
    </w:tbl>
    <w:p>
      <w:pPr>
        <w:spacing w:after="100"/>
      </w:pPr>
      <w:r>
        <w:rPr>
          <w:sz w:val="10"/>
          <w:szCs w:val="10"/>
        </w:rPr>
        <w:t xml:space="preserve"/>
      </w:r>
    </w:p>
    <w:p>
      <w:pPr>
        <w:pBdr>
          <w:top w:val="single" w:color="EDF1EE" w:sz="2" w:space="8"/>
          <w:bottom w:val="single" w:color="EDF1EE" w:sz="2" w:space="8"/>
          <w:left w:val="single" w:color="1F3D2B" w:sz="18" w:space="8"/>
          <w:right w:val="single" w:color="EDF1EE" w:sz="2" w:space="8"/>
        </w:pBdr>
        <w:shd w:fill="EDF1EE" w:val="clear"/>
        <w:spacing w:after="180" w:before="160"/>
      </w:pPr>
      <w:r>
        <w:rPr>
          <w:b/>
          <w:bCs/>
          <w:color w:val="1F3D2B"/>
          <w:sz w:val="19"/>
          <w:szCs w:val="19"/>
        </w:rPr>
        <w:t xml:space="preserve">RECOMMENDATION  </w:t>
      </w:r>
      <w:r>
        <w:rPr>
          <w:sz w:val="19"/>
          <w:szCs w:val="19"/>
        </w:rPr>
        <w:t xml:space="preserve">Recommendation: run the first auction on Auctria’s free tier or BetterWorld. Neither requires capital outlay, both handle silent online bidding, and the decision can be revisited once there is evidence of what CFL can actually raise. Paying $1,400 to $2,400 for platform software before knowing whether the bidder list exists is the wrong order of operations.</w:t>
      </w:r>
    </w:p>
    <w:p>
      <w:pPr>
        <w:spacing w:after="150"/>
      </w:pPr>
      <w:r>
        <w:rPr>
          <w:sz w:val="20"/>
          <w:szCs w:val="20"/>
        </w:rPr>
        <w:t xml:space="preserve">Whichever is selected, verify before committing: that the platform supports a per-item fair market value field displayed to bidders, that it generates receipts showing the deductible amount, and the total cost model including platform fee, transaction fee, and any per-event charge.</w:t>
      </w:r>
    </w:p>
    <w:p>
      <w:pPr>
        <w:pageBreakBefore/>
        <w:pBdr>
          <w:bottom w:val="single" w:color="1F3D2B" w:sz="8" w:space="4"/>
        </w:pBdr>
        <w:spacing w:after="150" w:before="340"/>
      </w:pPr>
      <w:r>
        <w:rPr>
          <w:b/>
          <w:bCs/>
          <w:color w:val="1F3D2B"/>
          <w:sz w:val="27"/>
          <w:szCs w:val="27"/>
        </w:rPr>
        <w:t xml:space="preserve">4.  Item Sourcing</w:t>
      </w:r>
    </w:p>
    <w:p>
      <w:pPr>
        <w:spacing w:after="150"/>
      </w:pPr>
      <w:r>
        <w:rPr>
          <w:sz w:val="20"/>
          <w:szCs w:val="20"/>
        </w:rPr>
        <w:t xml:space="preserve">Item sourcing is where the founder’s existing network is worth more than any purchased list. CFL has unusual access here and should use it deliberately rather than cold-approaching teams.</w:t>
      </w:r>
    </w:p>
    <w:p>
      <w:pPr>
        <w:spacing w:after="120" w:before="280"/>
      </w:pPr>
      <w:r>
        <w:rPr>
          <w:b/>
          <w:bCs/>
          <w:color w:val="1F3D2B"/>
          <w:sz w:val="23"/>
          <w:szCs w:val="23"/>
        </w:rPr>
        <w:t xml:space="preserve">4.1  Sources in order of likely yield</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4400"/>
      </w:tblGrid>
      <w:tr>
        <w:trPr>
          <w:tblHeader/>
        </w:trPr>
        <w:tc>
          <w:tcPr>
            <w:tcW w:type="dxa" w:w="2200"/>
            <w:shd w:fill="EDF1EE" w:val="clear"/>
            <w:tcMar>
              <w:top w:type="dxa" w:w="70"/>
              <w:left w:type="dxa" w:w="90"/>
              <w:bottom w:type="dxa" w:w="70"/>
              <w:right w:type="dxa" w:w="90"/>
            </w:tcMar>
          </w:tcPr>
          <w:p>
            <w:r>
              <w:rPr>
                <w:b/>
                <w:bCs/>
                <w:sz w:val="16"/>
                <w:szCs w:val="16"/>
              </w:rPr>
              <w:t xml:space="preserve">Source</w:t>
            </w:r>
          </w:p>
        </w:tc>
        <w:tc>
          <w:tcPr>
            <w:tcW w:type="dxa" w:w="2600"/>
            <w:shd w:fill="EDF1EE" w:val="clear"/>
            <w:tcMar>
              <w:top w:type="dxa" w:w="70"/>
              <w:left w:type="dxa" w:w="90"/>
              <w:bottom w:type="dxa" w:w="70"/>
              <w:right w:type="dxa" w:w="90"/>
            </w:tcMar>
          </w:tcPr>
          <w:p>
            <w:r>
              <w:rPr>
                <w:b/>
                <w:bCs/>
                <w:sz w:val="16"/>
                <w:szCs w:val="16"/>
              </w:rPr>
              <w:t xml:space="preserve">What to ask for</w:t>
            </w:r>
          </w:p>
        </w:tc>
        <w:tc>
          <w:tcPr>
            <w:tcW w:type="dxa" w:w="4400"/>
            <w:shd w:fill="EDF1EE" w:val="clear"/>
            <w:tcMar>
              <w:top w:type="dxa" w:w="70"/>
              <w:left w:type="dxa" w:w="90"/>
              <w:bottom w:type="dxa" w:w="70"/>
              <w:right w:type="dxa" w:w="90"/>
            </w:tcMar>
          </w:tcPr>
          <w:p>
            <w:r>
              <w:rPr>
                <w:b/>
                <w:bCs/>
                <w:sz w:val="16"/>
                <w:szCs w:val="16"/>
              </w:rPr>
              <w:t xml:space="preserve">Why it works</w:t>
            </w:r>
          </w:p>
        </w:tc>
      </w:tr>
      <w:tr>
        <w:tc>
          <w:tcPr>
            <w:tcW w:type="dxa" w:w="2200"/>
            <w:tcMar>
              <w:top w:type="dxa" w:w="70"/>
              <w:left w:type="dxa" w:w="90"/>
              <w:bottom w:type="dxa" w:w="70"/>
              <w:right w:type="dxa" w:w="90"/>
            </w:tcMar>
          </w:tcPr>
          <w:p>
            <w:r>
              <w:rPr>
                <w:sz w:val="16"/>
                <w:szCs w:val="16"/>
              </w:rPr>
              <w:t xml:space="preserve">Board and advisor network</w:t>
            </w:r>
          </w:p>
        </w:tc>
        <w:tc>
          <w:tcPr>
            <w:tcW w:type="dxa" w:w="2600"/>
            <w:tcMar>
              <w:top w:type="dxa" w:w="70"/>
              <w:left w:type="dxa" w:w="90"/>
              <w:bottom w:type="dxa" w:w="70"/>
              <w:right w:type="dxa" w:w="90"/>
            </w:tcMar>
          </w:tcPr>
          <w:p>
            <w:r>
              <w:rPr>
                <w:sz w:val="16"/>
                <w:szCs w:val="16"/>
              </w:rPr>
              <w:t xml:space="preserve">Introductions to teams, athletes, and equipment manufacturers</w:t>
            </w:r>
          </w:p>
        </w:tc>
        <w:tc>
          <w:tcPr>
            <w:tcW w:type="dxa" w:w="4400"/>
            <w:tcMar>
              <w:top w:type="dxa" w:w="70"/>
              <w:left w:type="dxa" w:w="90"/>
              <w:bottom w:type="dxa" w:w="70"/>
              <w:right w:type="dxa" w:w="90"/>
            </w:tcMar>
          </w:tcPr>
          <w:p>
            <w:r>
              <w:rPr>
                <w:sz w:val="16"/>
                <w:szCs w:val="16"/>
              </w:rPr>
              <w:t xml:space="preserve">A director serving as team physician to a Major League club is a direct line into an organisation’s community relations office</w:t>
            </w:r>
          </w:p>
        </w:tc>
      </w:tr>
      <w:tr>
        <w:tc>
          <w:tcPr>
            <w:tcW w:type="dxa" w:w="2200"/>
            <w:tcMar>
              <w:top w:type="dxa" w:w="70"/>
              <w:left w:type="dxa" w:w="90"/>
              <w:bottom w:type="dxa" w:w="70"/>
              <w:right w:type="dxa" w:w="90"/>
            </w:tcMar>
          </w:tcPr>
          <w:p>
            <w:r>
              <w:rPr>
                <w:sz w:val="16"/>
                <w:szCs w:val="16"/>
              </w:rPr>
              <w:t xml:space="preserve">Team community relations offices</w:t>
            </w:r>
          </w:p>
        </w:tc>
        <w:tc>
          <w:tcPr>
            <w:tcW w:type="dxa" w:w="2600"/>
            <w:tcMar>
              <w:top w:type="dxa" w:w="70"/>
              <w:left w:type="dxa" w:w="90"/>
              <w:bottom w:type="dxa" w:w="70"/>
              <w:right w:type="dxa" w:w="90"/>
            </w:tcMar>
          </w:tcPr>
          <w:p>
            <w:r>
              <w:rPr>
                <w:sz w:val="16"/>
                <w:szCs w:val="16"/>
              </w:rPr>
              <w:t xml:space="preserve">Signed items, experience packages, ticket packages</w:t>
            </w:r>
          </w:p>
        </w:tc>
        <w:tc>
          <w:tcPr>
            <w:tcW w:type="dxa" w:w="4400"/>
            <w:tcMar>
              <w:top w:type="dxa" w:w="70"/>
              <w:left w:type="dxa" w:w="90"/>
              <w:bottom w:type="dxa" w:w="70"/>
              <w:right w:type="dxa" w:w="90"/>
            </w:tcMar>
          </w:tcPr>
          <w:p>
            <w:r>
              <w:rPr>
                <w:sz w:val="16"/>
                <w:szCs w:val="16"/>
              </w:rPr>
              <w:t xml:space="preserve">Most professional clubs maintain a formal donation request process for charities; apply through it rather than around it</w:t>
            </w:r>
          </w:p>
        </w:tc>
      </w:tr>
      <w:tr>
        <w:tc>
          <w:tcPr>
            <w:tcW w:type="dxa" w:w="2200"/>
            <w:tcMar>
              <w:top w:type="dxa" w:w="70"/>
              <w:left w:type="dxa" w:w="90"/>
              <w:bottom w:type="dxa" w:w="70"/>
              <w:right w:type="dxa" w:w="90"/>
            </w:tcMar>
          </w:tcPr>
          <w:p>
            <w:r>
              <w:rPr>
                <w:sz w:val="16"/>
                <w:szCs w:val="16"/>
              </w:rPr>
              <w:t xml:space="preserve">Local Tampa clubs</w:t>
            </w:r>
          </w:p>
        </w:tc>
        <w:tc>
          <w:tcPr>
            <w:tcW w:type="dxa" w:w="2600"/>
            <w:tcMar>
              <w:top w:type="dxa" w:w="70"/>
              <w:left w:type="dxa" w:w="90"/>
              <w:bottom w:type="dxa" w:w="70"/>
              <w:right w:type="dxa" w:w="90"/>
            </w:tcMar>
          </w:tcPr>
          <w:p>
            <w:r>
              <w:rPr>
                <w:sz w:val="16"/>
                <w:szCs w:val="16"/>
              </w:rPr>
              <w:t xml:space="preserve">Buccaneers, Lightning, Rays — signed items or experiences</w:t>
            </w:r>
          </w:p>
        </w:tc>
        <w:tc>
          <w:tcPr>
            <w:tcW w:type="dxa" w:w="4400"/>
            <w:tcMar>
              <w:top w:type="dxa" w:w="70"/>
              <w:left w:type="dxa" w:w="90"/>
              <w:bottom w:type="dxa" w:w="70"/>
              <w:right w:type="dxa" w:w="90"/>
            </w:tcMar>
          </w:tcPr>
          <w:p>
            <w:r>
              <w:rPr>
                <w:sz w:val="16"/>
                <w:szCs w:val="16"/>
              </w:rPr>
              <w:t xml:space="preserve">Home-market charities are prioritised; CFL is Tampa-based</w:t>
            </w:r>
          </w:p>
        </w:tc>
      </w:tr>
      <w:tr>
        <w:tc>
          <w:tcPr>
            <w:tcW w:type="dxa" w:w="2200"/>
            <w:tcMar>
              <w:top w:type="dxa" w:w="70"/>
              <w:left w:type="dxa" w:w="90"/>
              <w:bottom w:type="dxa" w:w="70"/>
              <w:right w:type="dxa" w:w="90"/>
            </w:tcMar>
          </w:tcPr>
          <w:p>
            <w:r>
              <w:rPr>
                <w:sz w:val="16"/>
                <w:szCs w:val="16"/>
              </w:rPr>
              <w:t xml:space="preserve">Athletes directly</w:t>
            </w:r>
          </w:p>
        </w:tc>
        <w:tc>
          <w:tcPr>
            <w:tcW w:type="dxa" w:w="2600"/>
            <w:tcMar>
              <w:top w:type="dxa" w:w="70"/>
              <w:left w:type="dxa" w:w="90"/>
              <w:bottom w:type="dxa" w:w="70"/>
              <w:right w:type="dxa" w:w="90"/>
            </w:tcMar>
          </w:tcPr>
          <w:p>
            <w:r>
              <w:rPr>
                <w:sz w:val="16"/>
                <w:szCs w:val="16"/>
              </w:rPr>
              <w:t xml:space="preserve">Signed equipment; a personal item with a story</w:t>
            </w:r>
          </w:p>
        </w:tc>
        <w:tc>
          <w:tcPr>
            <w:tcW w:type="dxa" w:w="4400"/>
            <w:tcMar>
              <w:top w:type="dxa" w:w="70"/>
              <w:left w:type="dxa" w:w="90"/>
              <w:bottom w:type="dxa" w:w="70"/>
              <w:right w:type="dxa" w:w="90"/>
            </w:tcMar>
          </w:tcPr>
          <w:p>
            <w:r>
              <w:rPr>
                <w:sz w:val="16"/>
                <w:szCs w:val="16"/>
              </w:rPr>
              <w:t xml:space="preserve">Athletes with veteran or safety connections are the natural ask given CFL’s mission</w:t>
            </w:r>
          </w:p>
        </w:tc>
      </w:tr>
      <w:tr>
        <w:tc>
          <w:tcPr>
            <w:tcW w:type="dxa" w:w="2200"/>
            <w:tcMar>
              <w:top w:type="dxa" w:w="70"/>
              <w:left w:type="dxa" w:w="90"/>
              <w:bottom w:type="dxa" w:w="70"/>
              <w:right w:type="dxa" w:w="90"/>
            </w:tcMar>
          </w:tcPr>
          <w:p>
            <w:r>
              <w:rPr>
                <w:sz w:val="16"/>
                <w:szCs w:val="16"/>
              </w:rPr>
              <w:t xml:space="preserve">Equipment manufacturers</w:t>
            </w:r>
          </w:p>
        </w:tc>
        <w:tc>
          <w:tcPr>
            <w:tcW w:type="dxa" w:w="2600"/>
            <w:tcMar>
              <w:top w:type="dxa" w:w="70"/>
              <w:left w:type="dxa" w:w="90"/>
              <w:bottom w:type="dxa" w:w="70"/>
              <w:right w:type="dxa" w:w="90"/>
            </w:tcMar>
          </w:tcPr>
          <w:p>
            <w:r>
              <w:rPr>
                <w:sz w:val="16"/>
                <w:szCs w:val="16"/>
              </w:rPr>
              <w:t xml:space="preserve">Product, gear packages</w:t>
            </w:r>
          </w:p>
        </w:tc>
        <w:tc>
          <w:tcPr>
            <w:tcW w:type="dxa" w:w="4400"/>
            <w:tcMar>
              <w:top w:type="dxa" w:w="70"/>
              <w:left w:type="dxa" w:w="90"/>
              <w:bottom w:type="dxa" w:w="70"/>
              <w:right w:type="dxa" w:w="90"/>
            </w:tcMar>
          </w:tcPr>
          <w:p>
            <w:r>
              <w:rPr>
                <w:sz w:val="16"/>
                <w:szCs w:val="16"/>
              </w:rPr>
              <w:t xml:space="preserve">Helmet and equipment makers have an interest in athlete safety programming</w:t>
            </w:r>
          </w:p>
        </w:tc>
      </w:tr>
      <w:tr>
        <w:tc>
          <w:tcPr>
            <w:tcW w:type="dxa" w:w="2200"/>
            <w:tcMar>
              <w:top w:type="dxa" w:w="70"/>
              <w:left w:type="dxa" w:w="90"/>
              <w:bottom w:type="dxa" w:w="70"/>
              <w:right w:type="dxa" w:w="90"/>
            </w:tcMar>
          </w:tcPr>
          <w:p>
            <w:r>
              <w:rPr>
                <w:sz w:val="16"/>
                <w:szCs w:val="16"/>
              </w:rPr>
              <w:t xml:space="preserve">Universities and athletic departments</w:t>
            </w:r>
          </w:p>
        </w:tc>
        <w:tc>
          <w:tcPr>
            <w:tcW w:type="dxa" w:w="2600"/>
            <w:tcMar>
              <w:top w:type="dxa" w:w="70"/>
              <w:left w:type="dxa" w:w="90"/>
              <w:bottom w:type="dxa" w:w="70"/>
              <w:right w:type="dxa" w:w="90"/>
            </w:tcMar>
          </w:tcPr>
          <w:p>
            <w:r>
              <w:rPr>
                <w:sz w:val="16"/>
                <w:szCs w:val="16"/>
              </w:rPr>
              <w:t xml:space="preserve">Game-used items, experience packages</w:t>
            </w:r>
          </w:p>
        </w:tc>
        <w:tc>
          <w:tcPr>
            <w:tcW w:type="dxa" w:w="4400"/>
            <w:tcMar>
              <w:top w:type="dxa" w:w="70"/>
              <w:left w:type="dxa" w:w="90"/>
              <w:bottom w:type="dxa" w:w="70"/>
              <w:right w:type="dxa" w:w="90"/>
            </w:tcMar>
          </w:tcPr>
          <w:p>
            <w:r>
              <w:rPr>
                <w:sz w:val="16"/>
                <w:szCs w:val="16"/>
              </w:rPr>
              <w:t xml:space="preserve">Ties directly to the internship and capstone relationships being built</w:t>
            </w:r>
          </w:p>
        </w:tc>
      </w:tr>
      <w:tr>
        <w:tc>
          <w:tcPr>
            <w:tcW w:type="dxa" w:w="2200"/>
            <w:tcMar>
              <w:top w:type="dxa" w:w="70"/>
              <w:left w:type="dxa" w:w="90"/>
              <w:bottom w:type="dxa" w:w="70"/>
              <w:right w:type="dxa" w:w="90"/>
            </w:tcMar>
          </w:tcPr>
          <w:p>
            <w:r>
              <w:rPr>
                <w:sz w:val="16"/>
                <w:szCs w:val="16"/>
              </w:rPr>
              <w:t xml:space="preserve">Local businesses</w:t>
            </w:r>
          </w:p>
        </w:tc>
        <w:tc>
          <w:tcPr>
            <w:tcW w:type="dxa" w:w="2600"/>
            <w:tcMar>
              <w:top w:type="dxa" w:w="70"/>
              <w:left w:type="dxa" w:w="90"/>
              <w:bottom w:type="dxa" w:w="70"/>
              <w:right w:type="dxa" w:w="90"/>
            </w:tcMar>
          </w:tcPr>
          <w:p>
            <w:r>
              <w:rPr>
                <w:sz w:val="16"/>
                <w:szCs w:val="16"/>
              </w:rPr>
              <w:t xml:space="preserve">Experiences, services, gift packages</w:t>
            </w:r>
          </w:p>
        </w:tc>
        <w:tc>
          <w:tcPr>
            <w:tcW w:type="dxa" w:w="4400"/>
            <w:tcMar>
              <w:top w:type="dxa" w:w="70"/>
              <w:left w:type="dxa" w:w="90"/>
              <w:bottom w:type="dxa" w:w="70"/>
              <w:right w:type="dxa" w:w="90"/>
            </w:tcMar>
          </w:tcPr>
          <w:p>
            <w:r>
              <w:rPr>
                <w:sz w:val="16"/>
                <w:szCs w:val="16"/>
              </w:rPr>
              <w:t xml:space="preserve">Easiest yes; fills out a catalogue; builds local relationships</w:t>
            </w:r>
          </w:p>
        </w:tc>
      </w:tr>
    </w:tbl>
    <w:p>
      <w:pPr>
        <w:spacing w:after="100"/>
      </w:pPr>
      <w:r>
        <w:rPr>
          <w:sz w:val="10"/>
          <w:szCs w:val="10"/>
        </w:rPr>
        <w:t xml:space="preserve"/>
      </w:r>
    </w:p>
    <w:p>
      <w:pPr>
        <w:spacing w:after="120" w:before="280"/>
      </w:pPr>
      <w:r>
        <w:rPr>
          <w:b/>
          <w:bCs/>
          <w:color w:val="1F3D2B"/>
          <w:sz w:val="23"/>
          <w:szCs w:val="23"/>
        </w:rPr>
        <w:t xml:space="preserve">4.2  What sells and what does not</w:t>
      </w:r>
    </w:p>
    <w:p>
      <w:pPr>
        <w:pStyle w:val="ListParagraph"/>
        <w:numPr>
          <w:ilvl w:val="0"/>
          <w:numId w:val="6"/>
        </w:numPr>
      </w:pPr>
      <w:r>
        <w:rPr>
          <w:b/>
          <w:bCs/>
          <w:sz w:val="19"/>
          <w:szCs w:val="19"/>
        </w:rPr>
        <w:t xml:space="preserve">Experiences outperform objects. </w:t>
      </w:r>
      <w:r>
        <w:rPr>
          <w:sz w:val="19"/>
          <w:szCs w:val="19"/>
        </w:rPr>
        <w:t xml:space="preserve">Behind-the-scenes access, a training session, a stadium tour, a meeting with an athlete. They cost the donor little, have no authentication risk, and bid up hard.</w:t>
      </w:r>
    </w:p>
    <w:p>
      <w:pPr>
        <w:pStyle w:val="ListParagraph"/>
        <w:numPr>
          <w:ilvl w:val="0"/>
          <w:numId w:val="6"/>
        </w:numPr>
      </w:pPr>
      <w:r>
        <w:rPr>
          <w:b/>
          <w:bCs/>
          <w:sz w:val="19"/>
          <w:szCs w:val="19"/>
        </w:rPr>
        <w:t xml:space="preserve">Story beats signature. </w:t>
      </w:r>
      <w:r>
        <w:rPr>
          <w:sz w:val="19"/>
          <w:szCs w:val="19"/>
        </w:rPr>
        <w:t xml:space="preserve">An item with a documented connection to a person or moment outperforms a generic signed item of higher nominal value.</w:t>
      </w:r>
    </w:p>
    <w:p>
      <w:pPr>
        <w:pStyle w:val="ListParagraph"/>
        <w:numPr>
          <w:ilvl w:val="0"/>
          <w:numId w:val="6"/>
        </w:numPr>
      </w:pPr>
      <w:r>
        <w:rPr>
          <w:b/>
          <w:bCs/>
          <w:sz w:val="19"/>
          <w:szCs w:val="19"/>
        </w:rPr>
        <w:t xml:space="preserve">Mission-aligned items bid higher </w:t>
      </w:r>
      <w:r>
        <w:rPr>
          <w:sz w:val="19"/>
          <w:szCs w:val="19"/>
        </w:rPr>
        <w:t xml:space="preserve">in a mission-driven auction. Veteran and athlete connections belong in the listing copy.</w:t>
      </w:r>
    </w:p>
    <w:p>
      <w:pPr>
        <w:pStyle w:val="ListParagraph"/>
        <w:numPr>
          <w:ilvl w:val="0"/>
          <w:numId w:val="6"/>
        </w:numPr>
      </w:pPr>
      <w:r>
        <w:rPr>
          <w:b/>
          <w:bCs/>
          <w:sz w:val="19"/>
          <w:szCs w:val="19"/>
        </w:rPr>
        <w:t xml:space="preserve">Avoid low-value filler. </w:t>
      </w:r>
      <w:r>
        <w:rPr>
          <w:sz w:val="19"/>
          <w:szCs w:val="19"/>
        </w:rPr>
        <w:t xml:space="preserve">A catalogue of items realising under $50 consumes the same administrative effort as valuable ones and dilutes attention.</w:t>
      </w:r>
    </w:p>
    <w:p>
      <w:pPr>
        <w:pStyle w:val="ListParagraph"/>
        <w:numPr>
          <w:ilvl w:val="0"/>
          <w:numId w:val="6"/>
        </w:numPr>
      </w:pPr>
      <w:r>
        <w:rPr>
          <w:b/>
          <w:bCs/>
          <w:sz w:val="19"/>
          <w:szCs w:val="19"/>
        </w:rPr>
        <w:t xml:space="preserve">Avoid uncertain provenance </w:t>
      </w:r>
      <w:r>
        <w:rPr>
          <w:sz w:val="19"/>
          <w:szCs w:val="19"/>
        </w:rPr>
        <w:t xml:space="preserve">regardless of apparent value.</w:t>
      </w:r>
    </w:p>
    <w:p>
      <w:pPr>
        <w:pageBreakBefore/>
        <w:pBdr>
          <w:bottom w:val="single" w:color="1F3D2B" w:sz="8" w:space="4"/>
        </w:pBdr>
        <w:spacing w:after="150" w:before="340"/>
      </w:pPr>
      <w:r>
        <w:rPr>
          <w:b/>
          <w:bCs/>
          <w:color w:val="1F3D2B"/>
          <w:sz w:val="27"/>
          <w:szCs w:val="27"/>
        </w:rPr>
        <w:t xml:space="preserve">5.  Item Solicitation Letter — Ready to Send</w:t>
      </w:r>
    </w:p>
    <w:p>
      <w:pPr>
        <w:spacing w:after="150"/>
      </w:pPr>
      <w:r>
        <w:rPr>
          <w:sz w:val="20"/>
          <w:szCs w:val="20"/>
        </w:rPr>
        <w:t xml:space="preserve">Send by email with the subject line: Donation request — [Organisation] athlete safety benefit auction. Complete the bracketed fields.</w:t>
      </w:r>
    </w:p>
    <w:p>
      <w:pPr>
        <w:spacing w:after="150"/>
      </w:pPr>
      <w:r>
        <w:rPr>
          <w:sz w:val="20"/>
          <w:szCs w:val="20"/>
        </w:rPr>
        <w:t xml:space="preserve">Dear [Name],</w:t>
      </w:r>
    </w:p>
    <w:p>
      <w:pPr>
        <w:spacing w:after="150"/>
      </w:pPr>
      <w:r>
        <w:rPr>
          <w:sz w:val="20"/>
          <w:szCs w:val="20"/>
        </w:rPr>
        <w:t xml:space="preserve">I am writing to ask whether [organisation] would consider donating an item to a benefit auction supporting athlete safety research.</w:t>
      </w:r>
    </w:p>
    <w:p>
      <w:pPr>
        <w:spacing w:after="150"/>
      </w:pPr>
      <w:r>
        <w:rPr>
          <w:sz w:val="20"/>
          <w:szCs w:val="20"/>
        </w:rPr>
        <w:t xml:space="preserve">Capital Forge League is a Tampa-based nonprofit that unites military veterans and college student-athletes through entrepreneurship and financial literacy programming. We also hold a filed patent on a method for detecting invisible structural damage in protective helmets — the kind of internal degradation that visual inspection cannot find. Proceeds from this auction support that research.</w:t>
      </w:r>
    </w:p>
    <w:p>
      <w:pPr>
        <w:spacing w:after="150"/>
      </w:pPr>
      <w:r>
        <w:rPr>
          <w:sz w:val="20"/>
          <w:szCs w:val="20"/>
        </w:rPr>
        <w:t xml:space="preserve">The problem is straightforward. The industry currently retires helmets by calendar age rather than by measured condition, because no practical way exists to measure the condition of an individual helmet. Reconditioners drop-test a random sample; the specific helmet a player actually wears is never tested. We are working to change that.</w:t>
      </w:r>
    </w:p>
    <w:p>
      <w:pPr>
        <w:spacing w:after="150"/>
      </w:pPr>
      <w:r>
        <w:rPr>
          <w:sz w:val="20"/>
          <w:szCs w:val="20"/>
        </w:rPr>
        <w:t xml:space="preserve">What we are asking for: any item you feel is appropriate — signed memorabilia, game-used equipment, an experience package, or tickets. Experiences often generate the most enthusiasm from bidders, and cost the donor least.</w:t>
      </w:r>
    </w:p>
    <w:p>
      <w:pPr>
        <w:spacing w:after="150"/>
      </w:pPr>
      <w:r>
        <w:rPr>
          <w:sz w:val="20"/>
          <w:szCs w:val="20"/>
        </w:rPr>
        <w:t xml:space="preserve">What we provide: a written acknowledgment for your records, recognition in the auction listing and in our post-event reporting, and a summary of what the proceeds funded.</w:t>
      </w:r>
    </w:p>
    <w:p>
      <w:pPr>
        <w:spacing w:after="150"/>
      </w:pPr>
      <w:r>
        <w:rPr>
          <w:sz w:val="20"/>
          <w:szCs w:val="20"/>
        </w:rPr>
        <w:t xml:space="preserve">Practical details. The auction runs online from [dates] at [platform]. We handle listing, photography, fulfilment, and shipping. We ask only that items with authentication certificates include them, as we publish provenance for every lot.</w:t>
      </w:r>
    </w:p>
    <w:p>
      <w:pPr>
        <w:spacing w:after="150"/>
      </w:pPr>
      <w:r>
        <w:rPr>
          <w:sz w:val="20"/>
          <w:szCs w:val="20"/>
        </w:rPr>
        <w:t xml:space="preserve">Capital Forge League is a Florida nonprofit corporation. [Insert current tax status language — see note below.] I am glad to provide any documentation your process requires.</w:t>
      </w:r>
    </w:p>
    <w:p>
      <w:pPr>
        <w:spacing w:after="150"/>
      </w:pPr>
      <w:r>
        <w:rPr>
          <w:sz w:val="20"/>
          <w:szCs w:val="20"/>
        </w:rPr>
        <w:t xml:space="preserve">If there is a formal donation request process I should follow instead, please point me to it and I will submit through the proper channel.</w:t>
      </w:r>
    </w:p>
    <w:p>
      <w:pPr>
        <w:spacing w:after="150"/>
      </w:pPr>
      <w:r>
        <w:rPr>
          <w:sz w:val="20"/>
          <w:szCs w:val="20"/>
        </w:rPr>
        <w:t xml:space="preserve">Thank you for considering this.</w:t>
      </w:r>
    </w:p>
    <w:p>
      <w:pPr>
        <w:spacing w:after="200"/>
      </w:pPr>
      <w:r>
        <w:rPr>
          <w:sz w:val="20"/>
          <w:szCs w:val="20"/>
        </w:rPr>
        <w:t xml:space="preserve">Mark Jones — Founder &amp; Chief Executive Officer — Capital Forge League, Inc. — 813-436-6988 — mjones@capitalforgeleague.com</w:t>
      </w:r>
    </w:p>
    <w:p>
      <w:pPr>
        <w:pBdr>
          <w:top w:val="single" w:color="EDF1EE" w:sz="2" w:space="8"/>
          <w:bottom w:val="single" w:color="EDF1EE" w:sz="2" w:space="8"/>
          <w:left w:val="single" w:color="1F3D2B" w:sz="18" w:space="8"/>
          <w:right w:val="single" w:color="EDF1EE" w:sz="2" w:space="8"/>
        </w:pBdr>
        <w:shd w:fill="EDF1EE" w:val="clear"/>
        <w:spacing w:after="180" w:before="160"/>
      </w:pPr>
      <w:r>
        <w:rPr>
          <w:b/>
          <w:bCs/>
          <w:color w:val="1F3D2B"/>
          <w:sz w:val="19"/>
          <w:szCs w:val="19"/>
        </w:rPr>
        <w:t xml:space="preserve">GET THIS RIGHT  </w:t>
      </w:r>
      <w:r>
        <w:rPr>
          <w:sz w:val="19"/>
          <w:szCs w:val="19"/>
        </w:rPr>
        <w:t xml:space="preserve">Tax status language must be accurate and depends on whether the determination letter has arrived. Before the letter: state that CFL is a Florida nonprofit corporation with an application for recognition of exemption under Section 501(c)(3) pending before the IRS, and that deductibility depends on approval. After the letter: state the exempt status and provide the EIN and a copy of the letter. Have counsel approve the exact wording once.</w:t>
      </w:r>
    </w:p>
    <w:p>
      <w:pPr>
        <w:pageBreakBefore/>
        <w:pBdr>
          <w:bottom w:val="single" w:color="1F3D2B" w:sz="8" w:space="4"/>
        </w:pBdr>
        <w:spacing w:after="150" w:before="340"/>
      </w:pPr>
      <w:r>
        <w:rPr>
          <w:b/>
          <w:bCs/>
          <w:color w:val="1F3D2B"/>
          <w:sz w:val="27"/>
          <w:szCs w:val="27"/>
        </w:rPr>
        <w:t xml:space="preserve">6.  Listing Template</w:t>
      </w:r>
    </w:p>
    <w:p>
      <w:pPr>
        <w:spacing w:after="150"/>
      </w:pPr>
      <w:r>
        <w:rPr>
          <w:sz w:val="20"/>
          <w:szCs w:val="20"/>
        </w:rPr>
        <w:t xml:space="preserve">Every listing carries the same structure. The fair market value line is a compliance requirement, not a design choice.</w:t>
      </w:r>
    </w:p>
    <w:p>
      <w:pPr>
        <w:spacing w:after="120" w:before="280"/>
      </w:pPr>
      <w:r>
        <w:rPr>
          <w:b/>
          <w:bCs/>
          <w:color w:val="1F3D2B"/>
          <w:sz w:val="23"/>
          <w:szCs w:val="23"/>
        </w:rPr>
        <w:t xml:space="preserve">6.1  Required fields</w:t>
      </w:r>
    </w:p>
    <w:tbl>
      <w:tblPr>
        <w:tblW w:type="dxa" w:w="8200"/>
        <w:tblBorders>
          <w:top w:val="single" w:color="auto" w:sz="4"/>
          <w:left w:val="single" w:color="auto" w:sz="4"/>
          <w:bottom w:val="single" w:color="auto" w:sz="4"/>
          <w:right w:val="single" w:color="auto" w:sz="4"/>
          <w:insideH w:val="single" w:color="auto" w:sz="4"/>
          <w:insideV w:val="single" w:color="auto" w:sz="4"/>
        </w:tblBorders>
      </w:tblPr>
      <w:tblGrid>
        <w:gridCol w:w="1800"/>
        <w:gridCol w:w="4600"/>
        <w:gridCol w:w="1800"/>
      </w:tblGrid>
      <w:tr>
        <w:trPr>
          <w:tblHeader/>
        </w:trPr>
        <w:tc>
          <w:tcPr>
            <w:tcW w:type="dxa" w:w="1800"/>
            <w:shd w:fill="EDF1EE" w:val="clear"/>
            <w:tcMar>
              <w:top w:type="dxa" w:w="70"/>
              <w:left w:type="dxa" w:w="90"/>
              <w:bottom w:type="dxa" w:w="70"/>
              <w:right w:type="dxa" w:w="90"/>
            </w:tcMar>
          </w:tcPr>
          <w:p>
            <w:r>
              <w:rPr>
                <w:b/>
                <w:bCs/>
                <w:sz w:val="16"/>
                <w:szCs w:val="16"/>
              </w:rPr>
              <w:t xml:space="preserve">Field</w:t>
            </w:r>
          </w:p>
        </w:tc>
        <w:tc>
          <w:tcPr>
            <w:tcW w:type="dxa" w:w="4600"/>
            <w:shd w:fill="EDF1EE" w:val="clear"/>
            <w:tcMar>
              <w:top w:type="dxa" w:w="70"/>
              <w:left w:type="dxa" w:w="90"/>
              <w:bottom w:type="dxa" w:w="70"/>
              <w:right w:type="dxa" w:w="90"/>
            </w:tcMar>
          </w:tcPr>
          <w:p>
            <w:r>
              <w:rPr>
                <w:b/>
                <w:bCs/>
                <w:sz w:val="16"/>
                <w:szCs w:val="16"/>
              </w:rPr>
              <w:t xml:space="preserve">Content</w:t>
            </w:r>
          </w:p>
        </w:tc>
        <w:tc>
          <w:tcPr>
            <w:tcW w:type="dxa" w:w="1800"/>
            <w:shd w:fill="EDF1EE" w:val="clear"/>
            <w:tcMar>
              <w:top w:type="dxa" w:w="70"/>
              <w:left w:type="dxa" w:w="90"/>
              <w:bottom w:type="dxa" w:w="70"/>
              <w:right w:type="dxa" w:w="90"/>
            </w:tcMar>
          </w:tcPr>
          <w:p>
            <w:r>
              <w:rPr>
                <w:b/>
                <w:bCs/>
                <w:sz w:val="16"/>
                <w:szCs w:val="16"/>
              </w:rPr>
              <w:t xml:space="preserve">Required?</w:t>
            </w:r>
          </w:p>
        </w:tc>
      </w:tr>
      <w:tr>
        <w:tc>
          <w:tcPr>
            <w:tcW w:type="dxa" w:w="1800"/>
            <w:tcMar>
              <w:top w:type="dxa" w:w="70"/>
              <w:left w:type="dxa" w:w="90"/>
              <w:bottom w:type="dxa" w:w="70"/>
              <w:right w:type="dxa" w:w="90"/>
            </w:tcMar>
          </w:tcPr>
          <w:p>
            <w:r>
              <w:rPr>
                <w:sz w:val="16"/>
                <w:szCs w:val="16"/>
              </w:rPr>
              <w:t xml:space="preserve">Lot number</w:t>
            </w:r>
          </w:p>
        </w:tc>
        <w:tc>
          <w:tcPr>
            <w:tcW w:type="dxa" w:w="4600"/>
            <w:tcMar>
              <w:top w:type="dxa" w:w="70"/>
              <w:left w:type="dxa" w:w="90"/>
              <w:bottom w:type="dxa" w:w="70"/>
              <w:right w:type="dxa" w:w="90"/>
            </w:tcMar>
          </w:tcPr>
          <w:p>
            <w:r>
              <w:rPr>
                <w:sz w:val="16"/>
                <w:szCs w:val="16"/>
              </w:rPr>
              <w:t xml:space="preserve">Sequential</w:t>
            </w:r>
          </w:p>
        </w:tc>
        <w:tc>
          <w:tcPr>
            <w:tcW w:type="dxa" w:w="1800"/>
            <w:tcMar>
              <w:top w:type="dxa" w:w="70"/>
              <w:left w:type="dxa" w:w="90"/>
              <w:bottom w:type="dxa" w:w="70"/>
              <w:right w:type="dxa" w:w="90"/>
            </w:tcMar>
          </w:tcPr>
          <w:p>
            <w:r>
              <w:rPr>
                <w:sz w:val="16"/>
                <w:szCs w:val="16"/>
              </w:rPr>
              <w:t xml:space="preserve">Yes</w:t>
            </w:r>
          </w:p>
        </w:tc>
      </w:tr>
      <w:tr>
        <w:tc>
          <w:tcPr>
            <w:tcW w:type="dxa" w:w="1800"/>
            <w:tcMar>
              <w:top w:type="dxa" w:w="70"/>
              <w:left w:type="dxa" w:w="90"/>
              <w:bottom w:type="dxa" w:w="70"/>
              <w:right w:type="dxa" w:w="90"/>
            </w:tcMar>
          </w:tcPr>
          <w:p>
            <w:r>
              <w:rPr>
                <w:sz w:val="16"/>
                <w:szCs w:val="16"/>
              </w:rPr>
              <w:t xml:space="preserve">Item title</w:t>
            </w:r>
          </w:p>
        </w:tc>
        <w:tc>
          <w:tcPr>
            <w:tcW w:type="dxa" w:w="4600"/>
            <w:tcMar>
              <w:top w:type="dxa" w:w="70"/>
              <w:left w:type="dxa" w:w="90"/>
              <w:bottom w:type="dxa" w:w="70"/>
              <w:right w:type="dxa" w:w="90"/>
            </w:tcMar>
          </w:tcPr>
          <w:p>
            <w:r>
              <w:rPr>
                <w:sz w:val="16"/>
                <w:szCs w:val="16"/>
              </w:rPr>
              <w:t xml:space="preserve">Short and specific</w:t>
            </w:r>
          </w:p>
        </w:tc>
        <w:tc>
          <w:tcPr>
            <w:tcW w:type="dxa" w:w="1800"/>
            <w:tcMar>
              <w:top w:type="dxa" w:w="70"/>
              <w:left w:type="dxa" w:w="90"/>
              <w:bottom w:type="dxa" w:w="70"/>
              <w:right w:type="dxa" w:w="90"/>
            </w:tcMar>
          </w:tcPr>
          <w:p>
            <w:r>
              <w:rPr>
                <w:sz w:val="16"/>
                <w:szCs w:val="16"/>
              </w:rPr>
              <w:t xml:space="preserve">Yes</w:t>
            </w:r>
          </w:p>
        </w:tc>
      </w:tr>
      <w:tr>
        <w:tc>
          <w:tcPr>
            <w:tcW w:type="dxa" w:w="1800"/>
            <w:tcMar>
              <w:top w:type="dxa" w:w="70"/>
              <w:left w:type="dxa" w:w="90"/>
              <w:bottom w:type="dxa" w:w="70"/>
              <w:right w:type="dxa" w:w="90"/>
            </w:tcMar>
          </w:tcPr>
          <w:p>
            <w:r>
              <w:rPr>
                <w:sz w:val="16"/>
                <w:szCs w:val="16"/>
              </w:rPr>
              <w:t xml:space="preserve">Description</w:t>
            </w:r>
          </w:p>
        </w:tc>
        <w:tc>
          <w:tcPr>
            <w:tcW w:type="dxa" w:w="4600"/>
            <w:tcMar>
              <w:top w:type="dxa" w:w="70"/>
              <w:left w:type="dxa" w:w="90"/>
              <w:bottom w:type="dxa" w:w="70"/>
              <w:right w:type="dxa" w:w="90"/>
            </w:tcMar>
          </w:tcPr>
          <w:p>
            <w:r>
              <w:rPr>
                <w:sz w:val="16"/>
                <w:szCs w:val="16"/>
              </w:rPr>
              <w:t xml:space="preserve">What it is, its story, its condition</w:t>
            </w:r>
          </w:p>
        </w:tc>
        <w:tc>
          <w:tcPr>
            <w:tcW w:type="dxa" w:w="1800"/>
            <w:tcMar>
              <w:top w:type="dxa" w:w="70"/>
              <w:left w:type="dxa" w:w="90"/>
              <w:bottom w:type="dxa" w:w="70"/>
              <w:right w:type="dxa" w:w="90"/>
            </w:tcMar>
          </w:tcPr>
          <w:p>
            <w:r>
              <w:rPr>
                <w:sz w:val="16"/>
                <w:szCs w:val="16"/>
              </w:rPr>
              <w:t xml:space="preserve">Yes</w:t>
            </w:r>
          </w:p>
        </w:tc>
      </w:tr>
      <w:tr>
        <w:tc>
          <w:tcPr>
            <w:tcW w:type="dxa" w:w="1800"/>
            <w:tcMar>
              <w:top w:type="dxa" w:w="70"/>
              <w:left w:type="dxa" w:w="90"/>
              <w:bottom w:type="dxa" w:w="70"/>
              <w:right w:type="dxa" w:w="90"/>
            </w:tcMar>
          </w:tcPr>
          <w:p>
            <w:r>
              <w:rPr>
                <w:sz w:val="16"/>
                <w:szCs w:val="16"/>
              </w:rPr>
              <w:t xml:space="preserve">Provenance / authentication</w:t>
            </w:r>
          </w:p>
        </w:tc>
        <w:tc>
          <w:tcPr>
            <w:tcW w:type="dxa" w:w="4600"/>
            <w:tcMar>
              <w:top w:type="dxa" w:w="70"/>
              <w:left w:type="dxa" w:w="90"/>
              <w:bottom w:type="dxa" w:w="70"/>
              <w:right w:type="dxa" w:w="90"/>
            </w:tcMar>
          </w:tcPr>
          <w:p>
            <w:r>
              <w:rPr>
                <w:sz w:val="16"/>
                <w:szCs w:val="16"/>
              </w:rPr>
              <w:t xml:space="preserve">Certificate issuer and number, or documented source</w:t>
            </w:r>
          </w:p>
        </w:tc>
        <w:tc>
          <w:tcPr>
            <w:tcW w:type="dxa" w:w="1800"/>
            <w:tcMar>
              <w:top w:type="dxa" w:w="70"/>
              <w:left w:type="dxa" w:w="90"/>
              <w:bottom w:type="dxa" w:w="70"/>
              <w:right w:type="dxa" w:w="90"/>
            </w:tcMar>
          </w:tcPr>
          <w:p>
            <w:r>
              <w:rPr>
                <w:sz w:val="16"/>
                <w:szCs w:val="16"/>
              </w:rPr>
              <w:t xml:space="preserve">Yes where applicable</w:t>
            </w:r>
          </w:p>
        </w:tc>
      </w:tr>
      <w:tr>
        <w:tc>
          <w:tcPr>
            <w:tcW w:type="dxa" w:w="1800"/>
            <w:tcMar>
              <w:top w:type="dxa" w:w="70"/>
              <w:left w:type="dxa" w:w="90"/>
              <w:bottom w:type="dxa" w:w="70"/>
              <w:right w:type="dxa" w:w="90"/>
            </w:tcMar>
          </w:tcPr>
          <w:p>
            <w:r>
              <w:rPr>
                <w:sz w:val="16"/>
                <w:szCs w:val="16"/>
              </w:rPr>
              <w:t xml:space="preserve">Fair market value</w:t>
            </w:r>
          </w:p>
        </w:tc>
        <w:tc>
          <w:tcPr>
            <w:tcW w:type="dxa" w:w="4600"/>
            <w:tcMar>
              <w:top w:type="dxa" w:w="70"/>
              <w:left w:type="dxa" w:w="90"/>
              <w:bottom w:type="dxa" w:w="70"/>
              <w:right w:type="dxa" w:w="90"/>
            </w:tcMar>
          </w:tcPr>
          <w:p>
            <w:r>
              <w:rPr>
                <w:sz w:val="16"/>
                <w:szCs w:val="16"/>
              </w:rPr>
              <w:t xml:space="preserve">Good-faith estimate, stated in dollars</w:t>
            </w:r>
          </w:p>
        </w:tc>
        <w:tc>
          <w:tcPr>
            <w:tcW w:type="dxa" w:w="1800"/>
            <w:tcMar>
              <w:top w:type="dxa" w:w="70"/>
              <w:left w:type="dxa" w:w="90"/>
              <w:bottom w:type="dxa" w:w="70"/>
              <w:right w:type="dxa" w:w="90"/>
            </w:tcMar>
          </w:tcPr>
          <w:p>
            <w:r>
              <w:rPr>
                <w:sz w:val="16"/>
                <w:szCs w:val="16"/>
              </w:rPr>
              <w:t xml:space="preserve">YES — statutory</w:t>
            </w:r>
          </w:p>
        </w:tc>
      </w:tr>
      <w:tr>
        <w:tc>
          <w:tcPr>
            <w:tcW w:type="dxa" w:w="1800"/>
            <w:tcMar>
              <w:top w:type="dxa" w:w="70"/>
              <w:left w:type="dxa" w:w="90"/>
              <w:bottom w:type="dxa" w:w="70"/>
              <w:right w:type="dxa" w:w="90"/>
            </w:tcMar>
          </w:tcPr>
          <w:p>
            <w:r>
              <w:rPr>
                <w:sz w:val="16"/>
                <w:szCs w:val="16"/>
              </w:rPr>
              <w:t xml:space="preserve">Opening bid</w:t>
            </w:r>
          </w:p>
        </w:tc>
        <w:tc>
          <w:tcPr>
            <w:tcW w:type="dxa" w:w="4600"/>
            <w:tcMar>
              <w:top w:type="dxa" w:w="70"/>
              <w:left w:type="dxa" w:w="90"/>
              <w:bottom w:type="dxa" w:w="70"/>
              <w:right w:type="dxa" w:w="90"/>
            </w:tcMar>
          </w:tcPr>
          <w:p>
            <w:r>
              <w:rPr>
                <w:sz w:val="16"/>
                <w:szCs w:val="16"/>
              </w:rPr>
              <w:t xml:space="preserve">Typically 30–50% of FMV</w:t>
            </w:r>
          </w:p>
        </w:tc>
        <w:tc>
          <w:tcPr>
            <w:tcW w:type="dxa" w:w="1800"/>
            <w:tcMar>
              <w:top w:type="dxa" w:w="70"/>
              <w:left w:type="dxa" w:w="90"/>
              <w:bottom w:type="dxa" w:w="70"/>
              <w:right w:type="dxa" w:w="90"/>
            </w:tcMar>
          </w:tcPr>
          <w:p>
            <w:r>
              <w:rPr>
                <w:sz w:val="16"/>
                <w:szCs w:val="16"/>
              </w:rPr>
              <w:t xml:space="preserve">Yes</w:t>
            </w:r>
          </w:p>
        </w:tc>
      </w:tr>
      <w:tr>
        <w:tc>
          <w:tcPr>
            <w:tcW w:type="dxa" w:w="1800"/>
            <w:tcMar>
              <w:top w:type="dxa" w:w="70"/>
              <w:left w:type="dxa" w:w="90"/>
              <w:bottom w:type="dxa" w:w="70"/>
              <w:right w:type="dxa" w:w="90"/>
            </w:tcMar>
          </w:tcPr>
          <w:p>
            <w:r>
              <w:rPr>
                <w:sz w:val="16"/>
                <w:szCs w:val="16"/>
              </w:rPr>
              <w:t xml:space="preserve">Bid increment</w:t>
            </w:r>
          </w:p>
        </w:tc>
        <w:tc>
          <w:tcPr>
            <w:tcW w:type="dxa" w:w="4600"/>
            <w:tcMar>
              <w:top w:type="dxa" w:w="70"/>
              <w:left w:type="dxa" w:w="90"/>
              <w:bottom w:type="dxa" w:w="70"/>
              <w:right w:type="dxa" w:w="90"/>
            </w:tcMar>
          </w:tcPr>
          <w:p>
            <w:r>
              <w:rPr>
                <w:sz w:val="16"/>
                <w:szCs w:val="16"/>
              </w:rPr>
              <w:t xml:space="preserve">Typically 5–10% of FMV</w:t>
            </w:r>
          </w:p>
        </w:tc>
        <w:tc>
          <w:tcPr>
            <w:tcW w:type="dxa" w:w="1800"/>
            <w:tcMar>
              <w:top w:type="dxa" w:w="70"/>
              <w:left w:type="dxa" w:w="90"/>
              <w:bottom w:type="dxa" w:w="70"/>
              <w:right w:type="dxa" w:w="90"/>
            </w:tcMar>
          </w:tcPr>
          <w:p>
            <w:r>
              <w:rPr>
                <w:sz w:val="16"/>
                <w:szCs w:val="16"/>
              </w:rPr>
              <w:t xml:space="preserve">Yes</w:t>
            </w:r>
          </w:p>
        </w:tc>
      </w:tr>
      <w:tr>
        <w:tc>
          <w:tcPr>
            <w:tcW w:type="dxa" w:w="1800"/>
            <w:tcMar>
              <w:top w:type="dxa" w:w="70"/>
              <w:left w:type="dxa" w:w="90"/>
              <w:bottom w:type="dxa" w:w="70"/>
              <w:right w:type="dxa" w:w="90"/>
            </w:tcMar>
          </w:tcPr>
          <w:p>
            <w:r>
              <w:rPr>
                <w:sz w:val="16"/>
                <w:szCs w:val="16"/>
              </w:rPr>
              <w:t xml:space="preserve">Donor credit</w:t>
            </w:r>
          </w:p>
        </w:tc>
        <w:tc>
          <w:tcPr>
            <w:tcW w:type="dxa" w:w="4600"/>
            <w:tcMar>
              <w:top w:type="dxa" w:w="70"/>
              <w:left w:type="dxa" w:w="90"/>
              <w:bottom w:type="dxa" w:w="70"/>
              <w:right w:type="dxa" w:w="90"/>
            </w:tcMar>
          </w:tcPr>
          <w:p>
            <w:r>
              <w:rPr>
                <w:sz w:val="16"/>
                <w:szCs w:val="16"/>
              </w:rPr>
              <w:t xml:space="preserve">Donated by [name], with permission</w:t>
            </w:r>
          </w:p>
        </w:tc>
        <w:tc>
          <w:tcPr>
            <w:tcW w:type="dxa" w:w="1800"/>
            <w:tcMar>
              <w:top w:type="dxa" w:w="70"/>
              <w:left w:type="dxa" w:w="90"/>
              <w:bottom w:type="dxa" w:w="70"/>
              <w:right w:type="dxa" w:w="90"/>
            </w:tcMar>
          </w:tcPr>
          <w:p>
            <w:r>
              <w:rPr>
                <w:sz w:val="16"/>
                <w:szCs w:val="16"/>
              </w:rPr>
              <w:t xml:space="preserve">Preferred</w:t>
            </w:r>
          </w:p>
        </w:tc>
      </w:tr>
      <w:tr>
        <w:tc>
          <w:tcPr>
            <w:tcW w:type="dxa" w:w="1800"/>
            <w:tcMar>
              <w:top w:type="dxa" w:w="70"/>
              <w:left w:type="dxa" w:w="90"/>
              <w:bottom w:type="dxa" w:w="70"/>
              <w:right w:type="dxa" w:w="90"/>
            </w:tcMar>
          </w:tcPr>
          <w:p>
            <w:r>
              <w:rPr>
                <w:sz w:val="16"/>
                <w:szCs w:val="16"/>
              </w:rPr>
              <w:t xml:space="preserve">Fulfilment</w:t>
            </w:r>
          </w:p>
        </w:tc>
        <w:tc>
          <w:tcPr>
            <w:tcW w:type="dxa" w:w="4600"/>
            <w:tcMar>
              <w:top w:type="dxa" w:w="70"/>
              <w:left w:type="dxa" w:w="90"/>
              <w:bottom w:type="dxa" w:w="70"/>
              <w:right w:type="dxa" w:w="90"/>
            </w:tcMar>
          </w:tcPr>
          <w:p>
            <w:r>
              <w:rPr>
                <w:sz w:val="16"/>
                <w:szCs w:val="16"/>
              </w:rPr>
              <w:t xml:space="preserve">Shipping or pickup, and who pays</w:t>
            </w:r>
          </w:p>
        </w:tc>
        <w:tc>
          <w:tcPr>
            <w:tcW w:type="dxa" w:w="1800"/>
            <w:tcMar>
              <w:top w:type="dxa" w:w="70"/>
              <w:left w:type="dxa" w:w="90"/>
              <w:bottom w:type="dxa" w:w="70"/>
              <w:right w:type="dxa" w:w="90"/>
            </w:tcMar>
          </w:tcPr>
          <w:p>
            <w:r>
              <w:rPr>
                <w:sz w:val="16"/>
                <w:szCs w:val="16"/>
              </w:rPr>
              <w:t xml:space="preserve">Yes</w:t>
            </w:r>
          </w:p>
        </w:tc>
      </w:tr>
      <w:tr>
        <w:tc>
          <w:tcPr>
            <w:tcW w:type="dxa" w:w="1800"/>
            <w:tcMar>
              <w:top w:type="dxa" w:w="70"/>
              <w:left w:type="dxa" w:w="90"/>
              <w:bottom w:type="dxa" w:w="70"/>
              <w:right w:type="dxa" w:w="90"/>
            </w:tcMar>
          </w:tcPr>
          <w:p>
            <w:r>
              <w:rPr>
                <w:sz w:val="16"/>
                <w:szCs w:val="16"/>
              </w:rPr>
              <w:t xml:space="preserve">Photographs</w:t>
            </w:r>
          </w:p>
        </w:tc>
        <w:tc>
          <w:tcPr>
            <w:tcW w:type="dxa" w:w="4600"/>
            <w:tcMar>
              <w:top w:type="dxa" w:w="70"/>
              <w:left w:type="dxa" w:w="90"/>
              <w:bottom w:type="dxa" w:w="70"/>
              <w:right w:type="dxa" w:w="90"/>
            </w:tcMar>
          </w:tcPr>
          <w:p>
            <w:r>
              <w:rPr>
                <w:sz w:val="16"/>
                <w:szCs w:val="16"/>
              </w:rPr>
              <w:t xml:space="preserve">Three or more, including any certificate</w:t>
            </w:r>
          </w:p>
        </w:tc>
        <w:tc>
          <w:tcPr>
            <w:tcW w:type="dxa" w:w="1800"/>
            <w:tcMar>
              <w:top w:type="dxa" w:w="70"/>
              <w:left w:type="dxa" w:w="90"/>
              <w:bottom w:type="dxa" w:w="70"/>
              <w:right w:type="dxa" w:w="90"/>
            </w:tcMar>
          </w:tcPr>
          <w:p>
            <w:r>
              <w:rPr>
                <w:sz w:val="16"/>
                <w:szCs w:val="16"/>
              </w:rPr>
              <w:t xml:space="preserve">Yes</w:t>
            </w:r>
          </w:p>
        </w:tc>
      </w:tr>
    </w:tbl>
    <w:p>
      <w:pPr>
        <w:spacing w:after="100"/>
      </w:pPr>
      <w:r>
        <w:rPr>
          <w:sz w:val="10"/>
          <w:szCs w:val="10"/>
        </w:rPr>
        <w:t xml:space="preserve"/>
      </w:r>
    </w:p>
    <w:p>
      <w:pPr>
        <w:spacing w:after="120" w:before="280"/>
      </w:pPr>
      <w:r>
        <w:rPr>
          <w:b/>
          <w:bCs/>
          <w:color w:val="1F3D2B"/>
          <w:sz w:val="23"/>
          <w:szCs w:val="23"/>
        </w:rPr>
        <w:t xml:space="preserve">6.2  Standard listing footer — use on every lot</w:t>
      </w:r>
    </w:p>
    <w:p>
      <w:pPr>
        <w:pBdr>
          <w:top w:val="single" w:color="EDF1EE" w:sz="2" w:space="8"/>
          <w:bottom w:val="single" w:color="EDF1EE" w:sz="2" w:space="8"/>
          <w:left w:val="single" w:color="1F3D2B" w:sz="18" w:space="8"/>
          <w:right w:val="single" w:color="EDF1EE" w:sz="2" w:space="8"/>
        </w:pBdr>
        <w:shd w:fill="EDF1EE" w:val="clear"/>
        <w:spacing w:after="180" w:before="160"/>
      </w:pPr>
      <w:r>
        <w:rPr>
          <w:b/>
          <w:bCs/>
          <w:color w:val="1F3D2B"/>
          <w:sz w:val="19"/>
          <w:szCs w:val="19"/>
        </w:rPr>
        <w:t xml:space="preserve">FOOTER TEXT  </w:t>
      </w:r>
      <w:r>
        <w:rPr>
          <w:sz w:val="19"/>
          <w:szCs w:val="19"/>
        </w:rPr>
        <w:t xml:space="preserve">Fair market value of this item is estimated at $[amount]. Under IRS rules, only the amount you pay in excess of fair market value may be deductible as a charitable contribution. Winning bidders receive a written acknowledgment stating the amount paid, the stated fair market value, and the deductible portion. Please consult your own tax advisor regarding deductibility. [Insert current tax status language.]</w:t>
      </w:r>
    </w:p>
    <w:p>
      <w:pPr>
        <w:spacing w:after="120" w:before="280"/>
      </w:pPr>
      <w:r>
        <w:rPr>
          <w:b/>
          <w:bCs/>
          <w:color w:val="1F3D2B"/>
          <w:sz w:val="23"/>
          <w:szCs w:val="23"/>
        </w:rPr>
        <w:t xml:space="preserve">6.3  Winning bidder acknowledgment — required elements</w:t>
      </w:r>
    </w:p>
    <w:p>
      <w:pPr>
        <w:pStyle w:val="ListParagraph"/>
        <w:numPr>
          <w:ilvl w:val="0"/>
          <w:numId w:val="7"/>
        </w:numPr>
      </w:pPr>
      <w:r>
        <w:rPr>
          <w:sz w:val="19"/>
          <w:szCs w:val="19"/>
        </w:rPr>
        <w:t xml:space="preserve">Name and address of Capital Forge League, Inc., and EIN</w:t>
      </w:r>
    </w:p>
    <w:p>
      <w:pPr>
        <w:pStyle w:val="ListParagraph"/>
        <w:numPr>
          <w:ilvl w:val="0"/>
          <w:numId w:val="7"/>
        </w:numPr>
      </w:pPr>
      <w:r>
        <w:rPr>
          <w:sz w:val="19"/>
          <w:szCs w:val="19"/>
        </w:rPr>
        <w:t xml:space="preserve">Date of the transaction and lot description</w:t>
      </w:r>
    </w:p>
    <w:p>
      <w:pPr>
        <w:pStyle w:val="ListParagraph"/>
        <w:numPr>
          <w:ilvl w:val="0"/>
          <w:numId w:val="7"/>
        </w:numPr>
      </w:pPr>
      <w:r>
        <w:rPr>
          <w:sz w:val="19"/>
          <w:szCs w:val="19"/>
        </w:rPr>
        <w:t xml:space="preserve">Total amount paid</w:t>
      </w:r>
    </w:p>
    <w:p>
      <w:pPr>
        <w:pStyle w:val="ListParagraph"/>
        <w:numPr>
          <w:ilvl w:val="0"/>
          <w:numId w:val="7"/>
        </w:numPr>
      </w:pPr>
      <w:r>
        <w:rPr>
          <w:sz w:val="19"/>
          <w:szCs w:val="19"/>
        </w:rPr>
        <w:t xml:space="preserve">Stated good-faith fair market value of the item received</w:t>
      </w:r>
    </w:p>
    <w:p>
      <w:pPr>
        <w:pStyle w:val="ListParagraph"/>
        <w:numPr>
          <w:ilvl w:val="0"/>
          <w:numId w:val="7"/>
        </w:numPr>
      </w:pPr>
      <w:r>
        <w:rPr>
          <w:sz w:val="19"/>
          <w:szCs w:val="19"/>
        </w:rPr>
        <w:t xml:space="preserve">The deductible amount, being the excess of payment over fair market value</w:t>
      </w:r>
    </w:p>
    <w:p>
      <w:pPr>
        <w:pStyle w:val="ListParagraph"/>
        <w:numPr>
          <w:ilvl w:val="0"/>
          <w:numId w:val="7"/>
        </w:numPr>
      </w:pPr>
      <w:r>
        <w:rPr>
          <w:sz w:val="19"/>
          <w:szCs w:val="19"/>
        </w:rPr>
        <w:t xml:space="preserve">A statement that no other goods or services were provided</w:t>
      </w:r>
    </w:p>
    <w:p>
      <w:pPr>
        <w:pStyle w:val="ListParagraph"/>
        <w:numPr>
          <w:ilvl w:val="0"/>
          <w:numId w:val="7"/>
        </w:numPr>
      </w:pPr>
      <w:r>
        <w:rPr>
          <w:sz w:val="19"/>
          <w:szCs w:val="19"/>
        </w:rPr>
        <w:t xml:space="preserve">Current tax status language</w:t>
      </w:r>
    </w:p>
    <w:p>
      <w:pPr>
        <w:spacing w:after="150"/>
      </w:pPr>
      <w:r>
        <w:rPr>
          <w:sz w:val="20"/>
          <w:szCs w:val="20"/>
        </w:rPr>
        <w:t xml:space="preserve">Confirm that the selected platform generates this automatically. If it does not, the acknowledgments must be issued manually and that work must be planned for.</w:t>
      </w:r>
    </w:p>
    <w:p>
      <w:pPr>
        <w:pageBreakBefore/>
        <w:pBdr>
          <w:bottom w:val="single" w:color="1F3D2B" w:sz="8" w:space="4"/>
        </w:pBdr>
        <w:spacing w:after="150" w:before="340"/>
      </w:pPr>
      <w:r>
        <w:rPr>
          <w:b/>
          <w:bCs/>
          <w:color w:val="1F3D2B"/>
          <w:sz w:val="27"/>
          <w:szCs w:val="27"/>
        </w:rPr>
        <w:t xml:space="preserve">7.  Building the Bidder List</w:t>
      </w:r>
    </w:p>
    <w:p>
      <w:pPr>
        <w:spacing w:after="150"/>
      </w:pPr>
      <w:r>
        <w:rPr>
          <w:sz w:val="20"/>
          <w:szCs w:val="20"/>
        </w:rPr>
        <w:t xml:space="preserve">This is the work that determines the outcome, and it should begin before item solicitation.</w:t>
      </w:r>
    </w:p>
    <w:p>
      <w:pPr>
        <w:spacing w:after="80"/>
        <w:ind w:left="431" w:hanging="316"/>
      </w:pPr>
      <w:r>
        <w:rPr>
          <w:b/>
          <w:bCs/>
          <w:sz w:val="19"/>
          <w:szCs w:val="19"/>
        </w:rPr>
        <w:t xml:space="preserve">1.  </w:t>
      </w:r>
      <w:r>
        <w:rPr>
          <w:sz w:val="19"/>
          <w:szCs w:val="19"/>
        </w:rPr>
        <w:t xml:space="preserve">Start with the founder’s personal and professional network. Direct, individual asks convert far better than broadcast.</w:t>
      </w:r>
    </w:p>
    <w:p>
      <w:pPr>
        <w:spacing w:after="80"/>
        <w:ind w:left="431" w:hanging="316"/>
      </w:pPr>
      <w:r>
        <w:rPr>
          <w:b/>
          <w:bCs/>
          <w:sz w:val="19"/>
          <w:szCs w:val="19"/>
        </w:rPr>
        <w:t xml:space="preserve">2.  </w:t>
      </w:r>
      <w:r>
        <w:rPr>
          <w:sz w:val="19"/>
          <w:szCs w:val="19"/>
        </w:rPr>
        <w:t xml:space="preserve">Board and advisor networks. Each director should be asked to invite a defined number of people.</w:t>
      </w:r>
    </w:p>
    <w:p>
      <w:pPr>
        <w:spacing w:after="80"/>
        <w:ind w:left="431" w:hanging="316"/>
      </w:pPr>
      <w:r>
        <w:rPr>
          <w:b/>
          <w:bCs/>
          <w:sz w:val="19"/>
          <w:szCs w:val="19"/>
        </w:rPr>
        <w:t xml:space="preserve">3.  </w:t>
      </w:r>
      <w:r>
        <w:rPr>
          <w:sz w:val="19"/>
          <w:szCs w:val="19"/>
        </w:rPr>
        <w:t xml:space="preserve">Veteran organisations — Student Veterans of America chapters, local posts, and veteran service organisations aligned with the mission.</w:t>
      </w:r>
    </w:p>
    <w:p>
      <w:pPr>
        <w:spacing w:after="80"/>
        <w:ind w:left="431" w:hanging="316"/>
      </w:pPr>
      <w:r>
        <w:rPr>
          <w:b/>
          <w:bCs/>
          <w:sz w:val="19"/>
          <w:szCs w:val="19"/>
        </w:rPr>
        <w:t xml:space="preserve">4.  </w:t>
      </w:r>
      <w:r>
        <w:rPr>
          <w:sz w:val="19"/>
          <w:szCs w:val="19"/>
        </w:rPr>
        <w:t xml:space="preserve">University partners already being approached for internships and capstone projects.</w:t>
      </w:r>
    </w:p>
    <w:p>
      <w:pPr>
        <w:spacing w:after="80"/>
        <w:ind w:left="431" w:hanging="316"/>
      </w:pPr>
      <w:r>
        <w:rPr>
          <w:b/>
          <w:bCs/>
          <w:sz w:val="19"/>
          <w:szCs w:val="19"/>
        </w:rPr>
        <w:t xml:space="preserve">5.  </w:t>
      </w:r>
      <w:r>
        <w:rPr>
          <w:sz w:val="19"/>
          <w:szCs w:val="19"/>
        </w:rPr>
        <w:t xml:space="preserve">Local Tampa business community, particularly any prospective sponsors.</w:t>
      </w:r>
    </w:p>
    <w:p>
      <w:pPr>
        <w:spacing w:after="80"/>
        <w:ind w:left="431" w:hanging="316"/>
      </w:pPr>
      <w:r>
        <w:rPr>
          <w:b/>
          <w:bCs/>
          <w:sz w:val="19"/>
          <w:szCs w:val="19"/>
        </w:rPr>
        <w:t xml:space="preserve">6.  </w:t>
      </w:r>
      <w:r>
        <w:rPr>
          <w:sz w:val="19"/>
          <w:szCs w:val="19"/>
        </w:rPr>
        <w:t xml:space="preserve">Social channels, though these will underperform direct asks at this stage.</w:t>
      </w:r>
    </w:p>
    <w:p>
      <w:pPr>
        <w:spacing w:after="80"/>
        <w:ind w:left="431" w:hanging="316"/>
      </w:pPr>
      <w:r>
        <w:rPr>
          <w:b/>
          <w:bCs/>
          <w:sz w:val="19"/>
          <w:szCs w:val="19"/>
        </w:rPr>
        <w:t xml:space="preserve">7.  </w:t>
      </w:r>
      <w:r>
        <w:rPr>
          <w:sz w:val="19"/>
          <w:szCs w:val="19"/>
        </w:rPr>
        <w:t xml:space="preserve">Every item donor is also a bidder source — ask each donor to share the auction with their own network.</w:t>
      </w:r>
    </w:p>
    <w:p>
      <w:pPr>
        <w:pBdr>
          <w:top w:val="single" w:color="EDF1EE" w:sz="2" w:space="8"/>
          <w:bottom w:val="single" w:color="EDF1EE" w:sz="2" w:space="8"/>
          <w:left w:val="single" w:color="1F3D2B" w:sz="18" w:space="8"/>
          <w:right w:val="single" w:color="EDF1EE" w:sz="2" w:space="8"/>
        </w:pBdr>
        <w:shd w:fill="EDF1EE" w:val="clear"/>
        <w:spacing w:after="180" w:before="160"/>
      </w:pPr>
      <w:r>
        <w:rPr>
          <w:b/>
          <w:bCs/>
          <w:color w:val="1F3D2B"/>
          <w:sz w:val="19"/>
          <w:szCs w:val="19"/>
        </w:rPr>
        <w:t xml:space="preserve">THE GOVERNING METRIC  </w:t>
      </w:r>
      <w:r>
        <w:rPr>
          <w:sz w:val="19"/>
          <w:szCs w:val="19"/>
        </w:rPr>
        <w:t xml:space="preserve">Set a bidder registration target before setting an item target, and track registrations weekly in the run-up. If registrations are far below target two weeks out, postpone rather than proceed. An under-attended auction damages relationships with item donors who will not donate again.</w:t>
      </w:r>
    </w:p>
    <w:p>
      <w:pPr>
        <w:pageBreakBefore/>
        <w:pBdr>
          <w:bottom w:val="single" w:color="1F3D2B" w:sz="8" w:space="4"/>
        </w:pBdr>
        <w:spacing w:after="150" w:before="340"/>
      </w:pPr>
      <w:r>
        <w:rPr>
          <w:b/>
          <w:bCs/>
          <w:color w:val="1F3D2B"/>
          <w:sz w:val="27"/>
          <w:szCs w:val="27"/>
        </w:rPr>
        <w:t xml:space="preserve">8.  Launch Checklist</w:t>
      </w:r>
    </w:p>
    <w:p>
      <w:pPr>
        <w:spacing w:after="120" w:before="280"/>
      </w:pPr>
      <w:r>
        <w:rPr>
          <w:b/>
          <w:bCs/>
          <w:color w:val="1F3D2B"/>
          <w:sz w:val="23"/>
          <w:szCs w:val="23"/>
        </w:rPr>
        <w:t xml:space="preserve">8.1  Before any solicitation</w:t>
      </w:r>
    </w:p>
    <w:p>
      <w:pPr>
        <w:pStyle w:val="ListParagraph"/>
        <w:numPr>
          <w:ilvl w:val="0"/>
          <w:numId w:val="8"/>
        </w:numPr>
      </w:pPr>
      <w:r>
        <w:rPr>
          <w:sz w:val="19"/>
          <w:szCs w:val="19"/>
        </w:rPr>
        <w:t xml:space="preserve">Florida charitable solicitation registration confirmed with FDACS</w:t>
      </w:r>
    </w:p>
    <w:p>
      <w:pPr>
        <w:pStyle w:val="ListParagraph"/>
        <w:numPr>
          <w:ilvl w:val="0"/>
          <w:numId w:val="8"/>
        </w:numPr>
      </w:pPr>
      <w:r>
        <w:rPr>
          <w:sz w:val="19"/>
          <w:szCs w:val="19"/>
        </w:rPr>
        <w:t xml:space="preserve">Counsel review of tax status language, FMV disclosure text, and geographic scope of bidding</w:t>
      </w:r>
    </w:p>
    <w:p>
      <w:pPr>
        <w:pStyle w:val="ListParagraph"/>
        <w:numPr>
          <w:ilvl w:val="0"/>
          <w:numId w:val="8"/>
        </w:numPr>
      </w:pPr>
      <w:r>
        <w:rPr>
          <w:sz w:val="19"/>
          <w:szCs w:val="19"/>
        </w:rPr>
        <w:t xml:space="preserve">CPA confirmation on sales tax treatment and restricted fund accounting</w:t>
      </w:r>
    </w:p>
    <w:p>
      <w:pPr>
        <w:pStyle w:val="ListParagraph"/>
        <w:numPr>
          <w:ilvl w:val="0"/>
          <w:numId w:val="8"/>
        </w:numPr>
      </w:pPr>
      <w:r>
        <w:rPr>
          <w:sz w:val="19"/>
          <w:szCs w:val="19"/>
        </w:rPr>
        <w:t xml:space="preserve">Platform selected and total cost model confirmed in writing</w:t>
      </w:r>
    </w:p>
    <w:p>
      <w:pPr>
        <w:pStyle w:val="ListParagraph"/>
        <w:numPr>
          <w:ilvl w:val="0"/>
          <w:numId w:val="8"/>
        </w:numPr>
      </w:pPr>
      <w:r>
        <w:rPr>
          <w:sz w:val="19"/>
          <w:szCs w:val="19"/>
        </w:rPr>
        <w:t xml:space="preserve">Fair market value field confirmed to display to bidders</w:t>
      </w:r>
    </w:p>
    <w:p>
      <w:pPr>
        <w:pStyle w:val="ListParagraph"/>
        <w:numPr>
          <w:ilvl w:val="0"/>
          <w:numId w:val="8"/>
        </w:numPr>
      </w:pPr>
      <w:r>
        <w:rPr>
          <w:sz w:val="19"/>
          <w:szCs w:val="19"/>
        </w:rPr>
        <w:t xml:space="preserve">Receipt generation confirmed to include the deductible amount</w:t>
      </w:r>
    </w:p>
    <w:p>
      <w:pPr>
        <w:pStyle w:val="ListParagraph"/>
        <w:numPr>
          <w:ilvl w:val="0"/>
          <w:numId w:val="8"/>
        </w:numPr>
      </w:pPr>
      <w:r>
        <w:rPr>
          <w:sz w:val="19"/>
          <w:szCs w:val="19"/>
        </w:rPr>
        <w:t xml:space="preserve">Separate fund or class established for restricted proceeds</w:t>
      </w:r>
    </w:p>
    <w:p>
      <w:pPr>
        <w:pStyle w:val="ListParagraph"/>
        <w:numPr>
          <w:ilvl w:val="0"/>
          <w:numId w:val="8"/>
        </w:numPr>
      </w:pPr>
      <w:r>
        <w:rPr>
          <w:sz w:val="19"/>
          <w:szCs w:val="19"/>
        </w:rPr>
        <w:t xml:space="preserve">Bidder registration target set</w:t>
      </w:r>
    </w:p>
    <w:p>
      <w:pPr>
        <w:spacing w:after="120" w:before="280"/>
      </w:pPr>
      <w:r>
        <w:rPr>
          <w:b/>
          <w:bCs/>
          <w:color w:val="1F3D2B"/>
          <w:sz w:val="23"/>
          <w:szCs w:val="23"/>
        </w:rPr>
        <w:t xml:space="preserve">8.2  Six to eight weeks out</w:t>
      </w:r>
    </w:p>
    <w:p>
      <w:pPr>
        <w:pStyle w:val="ListParagraph"/>
        <w:numPr>
          <w:ilvl w:val="0"/>
          <w:numId w:val="9"/>
        </w:numPr>
      </w:pPr>
      <w:r>
        <w:rPr>
          <w:sz w:val="19"/>
          <w:szCs w:val="19"/>
        </w:rPr>
        <w:t xml:space="preserve">Item solicitation begins — board network first, then teams and businesses</w:t>
      </w:r>
    </w:p>
    <w:p>
      <w:pPr>
        <w:pStyle w:val="ListParagraph"/>
        <w:numPr>
          <w:ilvl w:val="0"/>
          <w:numId w:val="9"/>
        </w:numPr>
      </w:pPr>
      <w:r>
        <w:rPr>
          <w:sz w:val="19"/>
          <w:szCs w:val="19"/>
        </w:rPr>
        <w:t xml:space="preserve">Bidder list building begins in parallel</w:t>
      </w:r>
    </w:p>
    <w:p>
      <w:pPr>
        <w:pStyle w:val="ListParagraph"/>
        <w:numPr>
          <w:ilvl w:val="0"/>
          <w:numId w:val="9"/>
        </w:numPr>
      </w:pPr>
      <w:r>
        <w:rPr>
          <w:sz w:val="19"/>
          <w:szCs w:val="19"/>
        </w:rPr>
        <w:t xml:space="preserve">Item log established: donor, description, FMV, authentication, photographs, status</w:t>
      </w:r>
    </w:p>
    <w:p>
      <w:pPr>
        <w:pStyle w:val="ListParagraph"/>
        <w:numPr>
          <w:ilvl w:val="0"/>
          <w:numId w:val="9"/>
        </w:numPr>
      </w:pPr>
      <w:r>
        <w:rPr>
          <w:sz w:val="19"/>
          <w:szCs w:val="19"/>
        </w:rPr>
        <w:t xml:space="preserve">Photography standard set — consistent background and lighting across all lots</w:t>
      </w:r>
    </w:p>
    <w:p>
      <w:pPr>
        <w:spacing w:after="120" w:before="280"/>
      </w:pPr>
      <w:r>
        <w:rPr>
          <w:b/>
          <w:bCs/>
          <w:color w:val="1F3D2B"/>
          <w:sz w:val="23"/>
          <w:szCs w:val="23"/>
        </w:rPr>
        <w:t xml:space="preserve">8.3  Two to three weeks out</w:t>
      </w:r>
    </w:p>
    <w:p>
      <w:pPr>
        <w:pStyle w:val="ListParagraph"/>
        <w:numPr>
          <w:ilvl w:val="0"/>
          <w:numId w:val="10"/>
        </w:numPr>
      </w:pPr>
      <w:r>
        <w:rPr>
          <w:sz w:val="19"/>
          <w:szCs w:val="19"/>
        </w:rPr>
        <w:t xml:space="preserve">All items received, photographed, and listed</w:t>
      </w:r>
    </w:p>
    <w:p>
      <w:pPr>
        <w:pStyle w:val="ListParagraph"/>
        <w:numPr>
          <w:ilvl w:val="0"/>
          <w:numId w:val="10"/>
        </w:numPr>
      </w:pPr>
      <w:r>
        <w:rPr>
          <w:sz w:val="19"/>
          <w:szCs w:val="19"/>
        </w:rPr>
        <w:t xml:space="preserve">FMV estimates set and documented — record the basis for each</w:t>
      </w:r>
    </w:p>
    <w:p>
      <w:pPr>
        <w:pStyle w:val="ListParagraph"/>
        <w:numPr>
          <w:ilvl w:val="0"/>
          <w:numId w:val="10"/>
        </w:numPr>
      </w:pPr>
      <w:r>
        <w:rPr>
          <w:sz w:val="19"/>
          <w:szCs w:val="19"/>
        </w:rPr>
        <w:t xml:space="preserve">Opening bids and increments set</w:t>
      </w:r>
    </w:p>
    <w:p>
      <w:pPr>
        <w:pStyle w:val="ListParagraph"/>
        <w:numPr>
          <w:ilvl w:val="0"/>
          <w:numId w:val="10"/>
        </w:numPr>
      </w:pPr>
      <w:r>
        <w:rPr>
          <w:sz w:val="19"/>
          <w:szCs w:val="19"/>
        </w:rPr>
        <w:t xml:space="preserve">Test the full bidder path end to end: register, bid, win, pay, receive receipt</w:t>
      </w:r>
    </w:p>
    <w:p>
      <w:pPr>
        <w:pStyle w:val="ListParagraph"/>
        <w:numPr>
          <w:ilvl w:val="0"/>
          <w:numId w:val="10"/>
        </w:numPr>
      </w:pPr>
      <w:r>
        <w:rPr>
          <w:sz w:val="19"/>
          <w:szCs w:val="19"/>
        </w:rPr>
        <w:t xml:space="preserve">Confirm the receipt states the deductible amount correctly</w:t>
      </w:r>
    </w:p>
    <w:p>
      <w:pPr>
        <w:pStyle w:val="ListParagraph"/>
        <w:numPr>
          <w:ilvl w:val="0"/>
          <w:numId w:val="10"/>
        </w:numPr>
      </w:pPr>
      <w:r>
        <w:rPr>
          <w:sz w:val="19"/>
          <w:szCs w:val="19"/>
        </w:rPr>
        <w:t xml:space="preserve">Registration count reviewed against target — decision point on proceeding</w:t>
      </w:r>
    </w:p>
    <w:p>
      <w:pPr>
        <w:spacing w:after="120" w:before="280"/>
      </w:pPr>
      <w:r>
        <w:rPr>
          <w:b/>
          <w:bCs/>
          <w:color w:val="1F3D2B"/>
          <w:sz w:val="23"/>
          <w:szCs w:val="23"/>
        </w:rPr>
        <w:t xml:space="preserve">8.4  Launch and close</w:t>
      </w:r>
    </w:p>
    <w:p>
      <w:pPr>
        <w:pStyle w:val="ListParagraph"/>
        <w:numPr>
          <w:ilvl w:val="0"/>
          <w:numId w:val="11"/>
        </w:numPr>
      </w:pPr>
      <w:r>
        <w:rPr>
          <w:sz w:val="19"/>
          <w:szCs w:val="19"/>
        </w:rPr>
        <w:t xml:space="preserve">Announcement to the assembled list, followed by scheduled reminders</w:t>
      </w:r>
    </w:p>
    <w:p>
      <w:pPr>
        <w:pStyle w:val="ListParagraph"/>
        <w:numPr>
          <w:ilvl w:val="0"/>
          <w:numId w:val="11"/>
        </w:numPr>
      </w:pPr>
      <w:r>
        <w:rPr>
          <w:sz w:val="19"/>
          <w:szCs w:val="19"/>
        </w:rPr>
        <w:t xml:space="preserve">Mid-auction update highlighting lots with no bids</w:t>
      </w:r>
    </w:p>
    <w:p>
      <w:pPr>
        <w:pStyle w:val="ListParagraph"/>
        <w:numPr>
          <w:ilvl w:val="0"/>
          <w:numId w:val="11"/>
        </w:numPr>
      </w:pPr>
      <w:r>
        <w:rPr>
          <w:sz w:val="19"/>
          <w:szCs w:val="19"/>
        </w:rPr>
        <w:t xml:space="preserve">Closing-day reminders — the majority of bidding activity occurs in the final hours</w:t>
      </w:r>
    </w:p>
    <w:p>
      <w:pPr>
        <w:pStyle w:val="ListParagraph"/>
        <w:numPr>
          <w:ilvl w:val="0"/>
          <w:numId w:val="11"/>
        </w:numPr>
      </w:pPr>
      <w:r>
        <w:rPr>
          <w:sz w:val="19"/>
          <w:szCs w:val="19"/>
        </w:rPr>
        <w:t xml:space="preserve">Staggered lot closing times to sustain attention</w:t>
      </w:r>
    </w:p>
    <w:p>
      <w:pPr>
        <w:spacing w:after="120" w:before="280"/>
      </w:pPr>
      <w:r>
        <w:rPr>
          <w:b/>
          <w:bCs/>
          <w:color w:val="1F3D2B"/>
          <w:sz w:val="23"/>
          <w:szCs w:val="23"/>
        </w:rPr>
        <w:t xml:space="preserve">8.5  After close</w:t>
      </w:r>
    </w:p>
    <w:p>
      <w:pPr>
        <w:pStyle w:val="ListParagraph"/>
        <w:numPr>
          <w:ilvl w:val="0"/>
          <w:numId w:val="12"/>
        </w:numPr>
      </w:pPr>
      <w:r>
        <w:rPr>
          <w:sz w:val="19"/>
          <w:szCs w:val="19"/>
        </w:rPr>
        <w:t xml:space="preserve">Invoices and payment collection</w:t>
      </w:r>
    </w:p>
    <w:p>
      <w:pPr>
        <w:pStyle w:val="ListParagraph"/>
        <w:numPr>
          <w:ilvl w:val="0"/>
          <w:numId w:val="12"/>
        </w:numPr>
      </w:pPr>
      <w:r>
        <w:rPr>
          <w:sz w:val="19"/>
          <w:szCs w:val="19"/>
        </w:rPr>
        <w:t xml:space="preserve">Written acknowledgments to every winning bidder with the deductible amount stated</w:t>
      </w:r>
    </w:p>
    <w:p>
      <w:pPr>
        <w:pStyle w:val="ListParagraph"/>
        <w:numPr>
          <w:ilvl w:val="0"/>
          <w:numId w:val="12"/>
        </w:numPr>
      </w:pPr>
      <w:r>
        <w:rPr>
          <w:sz w:val="19"/>
          <w:szCs w:val="19"/>
        </w:rPr>
        <w:t xml:space="preserve">Fulfilment — shipping or pickup, tracked</w:t>
      </w:r>
    </w:p>
    <w:p>
      <w:pPr>
        <w:pStyle w:val="ListParagraph"/>
        <w:numPr>
          <w:ilvl w:val="0"/>
          <w:numId w:val="12"/>
        </w:numPr>
      </w:pPr>
      <w:r>
        <w:rPr>
          <w:sz w:val="19"/>
          <w:szCs w:val="19"/>
        </w:rPr>
        <w:t xml:space="preserve">Written acknowledgment to every item donor</w:t>
      </w:r>
    </w:p>
    <w:p>
      <w:pPr>
        <w:pStyle w:val="ListParagraph"/>
        <w:numPr>
          <w:ilvl w:val="0"/>
          <w:numId w:val="12"/>
        </w:numPr>
      </w:pPr>
      <w:r>
        <w:rPr>
          <w:sz w:val="19"/>
          <w:szCs w:val="19"/>
        </w:rPr>
        <w:t xml:space="preserve">Report to donors and bidders on what was raised and what it funds</w:t>
      </w:r>
    </w:p>
    <w:p>
      <w:pPr>
        <w:pStyle w:val="ListParagraph"/>
        <w:numPr>
          <w:ilvl w:val="0"/>
          <w:numId w:val="12"/>
        </w:numPr>
      </w:pPr>
      <w:r>
        <w:rPr>
          <w:sz w:val="19"/>
          <w:szCs w:val="19"/>
        </w:rPr>
        <w:t xml:space="preserve">Retain the bidder list — this is the durable asset</w:t>
      </w:r>
    </w:p>
    <w:p>
      <w:pPr>
        <w:pStyle w:val="ListParagraph"/>
        <w:numPr>
          <w:ilvl w:val="0"/>
          <w:numId w:val="12"/>
        </w:numPr>
      </w:pPr>
      <w:r>
        <w:rPr>
          <w:sz w:val="19"/>
          <w:szCs w:val="19"/>
        </w:rPr>
        <w:t xml:space="preserve">Post-event review: gross, net, cost per dollar raised, and registration conversion</w:t>
      </w:r>
    </w:p>
    <w:p>
      <w:pPr>
        <w:pageBreakBefore/>
        <w:pBdr>
          <w:bottom w:val="single" w:color="1F3D2B" w:sz="8" w:space="4"/>
        </w:pBdr>
        <w:spacing w:after="150" w:before="340"/>
      </w:pPr>
      <w:r>
        <w:rPr>
          <w:b/>
          <w:bCs/>
          <w:color w:val="1F3D2B"/>
          <w:sz w:val="27"/>
          <w:szCs w:val="27"/>
        </w:rPr>
        <w:t xml:space="preserve">9.  Open Items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500"/>
        <w:gridCol w:w="4600"/>
        <w:gridCol w:w="1500"/>
        <w:gridCol w:w="2800"/>
      </w:tblGrid>
      <w:tr>
        <w:trPr>
          <w:tblHeader/>
        </w:trPr>
        <w:tc>
          <w:tcPr>
            <w:tcW w:type="dxa" w:w="500"/>
            <w:shd w:fill="EDF1EE" w:val="clear"/>
            <w:tcMar>
              <w:top w:type="dxa" w:w="70"/>
              <w:left w:type="dxa" w:w="90"/>
              <w:bottom w:type="dxa" w:w="70"/>
              <w:right w:type="dxa" w:w="90"/>
            </w:tcMar>
          </w:tcPr>
          <w:p>
            <w:r>
              <w:rPr>
                <w:b/>
                <w:bCs/>
                <w:sz w:val="16"/>
                <w:szCs w:val="16"/>
              </w:rPr>
              <w:t xml:space="preserve">#</w:t>
            </w:r>
          </w:p>
        </w:tc>
        <w:tc>
          <w:tcPr>
            <w:tcW w:type="dxa" w:w="4600"/>
            <w:shd w:fill="EDF1EE" w:val="clear"/>
            <w:tcMar>
              <w:top w:type="dxa" w:w="70"/>
              <w:left w:type="dxa" w:w="90"/>
              <w:bottom w:type="dxa" w:w="70"/>
              <w:right w:type="dxa" w:w="90"/>
            </w:tcMar>
          </w:tcPr>
          <w:p>
            <w:r>
              <w:rPr>
                <w:b/>
                <w:bCs/>
                <w:sz w:val="16"/>
                <w:szCs w:val="16"/>
              </w:rPr>
              <w:t xml:space="preserve">Item</w:t>
            </w:r>
          </w:p>
        </w:tc>
        <w:tc>
          <w:tcPr>
            <w:tcW w:type="dxa" w:w="1500"/>
            <w:shd w:fill="EDF1EE" w:val="clear"/>
            <w:tcMar>
              <w:top w:type="dxa" w:w="70"/>
              <w:left w:type="dxa" w:w="90"/>
              <w:bottom w:type="dxa" w:w="70"/>
              <w:right w:type="dxa" w:w="90"/>
            </w:tcMar>
          </w:tcPr>
          <w:p>
            <w:r>
              <w:rPr>
                <w:b/>
                <w:bCs/>
                <w:sz w:val="16"/>
                <w:szCs w:val="16"/>
              </w:rPr>
              <w:t xml:space="preserve">Owner</w:t>
            </w:r>
          </w:p>
        </w:tc>
        <w:tc>
          <w:tcPr>
            <w:tcW w:type="dxa" w:w="2800"/>
            <w:shd w:fill="EDF1EE" w:val="clear"/>
            <w:tcMar>
              <w:top w:type="dxa" w:w="70"/>
              <w:left w:type="dxa" w:w="90"/>
              <w:bottom w:type="dxa" w:w="70"/>
              <w:right w:type="dxa" w:w="90"/>
            </w:tcMar>
          </w:tcPr>
          <w:p>
            <w:r>
              <w:rPr>
                <w:b/>
                <w:bCs/>
                <w:sz w:val="16"/>
                <w:szCs w:val="16"/>
              </w:rPr>
              <w:t xml:space="preserve">Before</w:t>
            </w:r>
          </w:p>
        </w:tc>
      </w:tr>
      <w:tr>
        <w:tc>
          <w:tcPr>
            <w:tcW w:type="dxa" w:w="500"/>
            <w:tcMar>
              <w:top w:type="dxa" w:w="70"/>
              <w:left w:type="dxa" w:w="90"/>
              <w:bottom w:type="dxa" w:w="70"/>
              <w:right w:type="dxa" w:w="90"/>
            </w:tcMar>
          </w:tcPr>
          <w:p>
            <w:r>
              <w:rPr>
                <w:sz w:val="16"/>
                <w:szCs w:val="16"/>
              </w:rPr>
              <w:t xml:space="preserve">1</w:t>
            </w:r>
          </w:p>
        </w:tc>
        <w:tc>
          <w:tcPr>
            <w:tcW w:type="dxa" w:w="4600"/>
            <w:tcMar>
              <w:top w:type="dxa" w:w="70"/>
              <w:left w:type="dxa" w:w="90"/>
              <w:bottom w:type="dxa" w:w="70"/>
              <w:right w:type="dxa" w:w="90"/>
            </w:tcMar>
          </w:tcPr>
          <w:p>
            <w:r>
              <w:rPr>
                <w:sz w:val="16"/>
                <w:szCs w:val="16"/>
              </w:rPr>
              <w:t xml:space="preserve">Confirm FDACS registration status and requirements</w:t>
            </w:r>
          </w:p>
        </w:tc>
        <w:tc>
          <w:tcPr>
            <w:tcW w:type="dxa" w:w="1500"/>
            <w:tcMar>
              <w:top w:type="dxa" w:w="70"/>
              <w:left w:type="dxa" w:w="90"/>
              <w:bottom w:type="dxa" w:w="70"/>
              <w:right w:type="dxa" w:w="90"/>
            </w:tcMar>
          </w:tcPr>
          <w:p>
            <w:r>
              <w:rPr>
                <w:sz w:val="16"/>
                <w:szCs w:val="16"/>
              </w:rPr>
              <w:t xml:space="preserve">Founder</w:t>
            </w:r>
          </w:p>
        </w:tc>
        <w:tc>
          <w:tcPr>
            <w:tcW w:type="dxa" w:w="2800"/>
            <w:tcMar>
              <w:top w:type="dxa" w:w="70"/>
              <w:left w:type="dxa" w:w="90"/>
              <w:bottom w:type="dxa" w:w="70"/>
              <w:right w:type="dxa" w:w="90"/>
            </w:tcMar>
          </w:tcPr>
          <w:p>
            <w:r>
              <w:rPr>
                <w:sz w:val="16"/>
                <w:szCs w:val="16"/>
              </w:rPr>
              <w:t xml:space="preserve">Any solicitation</w:t>
            </w:r>
          </w:p>
        </w:tc>
      </w:tr>
      <w:tr>
        <w:tc>
          <w:tcPr>
            <w:tcW w:type="dxa" w:w="500"/>
            <w:tcMar>
              <w:top w:type="dxa" w:w="70"/>
              <w:left w:type="dxa" w:w="90"/>
              <w:bottom w:type="dxa" w:w="70"/>
              <w:right w:type="dxa" w:w="90"/>
            </w:tcMar>
          </w:tcPr>
          <w:p>
            <w:r>
              <w:rPr>
                <w:sz w:val="16"/>
                <w:szCs w:val="16"/>
              </w:rPr>
              <w:t xml:space="preserve">2</w:t>
            </w:r>
          </w:p>
        </w:tc>
        <w:tc>
          <w:tcPr>
            <w:tcW w:type="dxa" w:w="4600"/>
            <w:tcMar>
              <w:top w:type="dxa" w:w="70"/>
              <w:left w:type="dxa" w:w="90"/>
              <w:bottom w:type="dxa" w:w="70"/>
              <w:right w:type="dxa" w:w="90"/>
            </w:tcMar>
          </w:tcPr>
          <w:p>
            <w:r>
              <w:rPr>
                <w:sz w:val="16"/>
                <w:szCs w:val="16"/>
              </w:rPr>
              <w:t xml:space="preserve">Approve tax status language for pre- and post-determination periods</w:t>
            </w:r>
          </w:p>
        </w:tc>
        <w:tc>
          <w:tcPr>
            <w:tcW w:type="dxa" w:w="1500"/>
            <w:tcMar>
              <w:top w:type="dxa" w:w="70"/>
              <w:left w:type="dxa" w:w="90"/>
              <w:bottom w:type="dxa" w:w="70"/>
              <w:right w:type="dxa" w:w="90"/>
            </w:tcMar>
          </w:tcPr>
          <w:p>
            <w:r>
              <w:rPr>
                <w:sz w:val="16"/>
                <w:szCs w:val="16"/>
              </w:rPr>
              <w:t xml:space="preserve">Counsel</w:t>
            </w:r>
          </w:p>
        </w:tc>
        <w:tc>
          <w:tcPr>
            <w:tcW w:type="dxa" w:w="2800"/>
            <w:tcMar>
              <w:top w:type="dxa" w:w="70"/>
              <w:left w:type="dxa" w:w="90"/>
              <w:bottom w:type="dxa" w:w="70"/>
              <w:right w:type="dxa" w:w="90"/>
            </w:tcMar>
          </w:tcPr>
          <w:p>
            <w:r>
              <w:rPr>
                <w:sz w:val="16"/>
                <w:szCs w:val="16"/>
              </w:rPr>
              <w:t xml:space="preserve">Any solicitation</w:t>
            </w:r>
          </w:p>
        </w:tc>
      </w:tr>
      <w:tr>
        <w:tc>
          <w:tcPr>
            <w:tcW w:type="dxa" w:w="500"/>
            <w:tcMar>
              <w:top w:type="dxa" w:w="70"/>
              <w:left w:type="dxa" w:w="90"/>
              <w:bottom w:type="dxa" w:w="70"/>
              <w:right w:type="dxa" w:w="90"/>
            </w:tcMar>
          </w:tcPr>
          <w:p>
            <w:r>
              <w:rPr>
                <w:sz w:val="16"/>
                <w:szCs w:val="16"/>
              </w:rPr>
              <w:t xml:space="preserve">3</w:t>
            </w:r>
          </w:p>
        </w:tc>
        <w:tc>
          <w:tcPr>
            <w:tcW w:type="dxa" w:w="4600"/>
            <w:tcMar>
              <w:top w:type="dxa" w:w="70"/>
              <w:left w:type="dxa" w:w="90"/>
              <w:bottom w:type="dxa" w:w="70"/>
              <w:right w:type="dxa" w:w="90"/>
            </w:tcMar>
          </w:tcPr>
          <w:p>
            <w:r>
              <w:rPr>
                <w:sz w:val="16"/>
                <w:szCs w:val="16"/>
              </w:rPr>
              <w:t xml:space="preserve">Advise on geographic restriction of bidding pending multi-state analysis</w:t>
            </w:r>
          </w:p>
        </w:tc>
        <w:tc>
          <w:tcPr>
            <w:tcW w:type="dxa" w:w="1500"/>
            <w:tcMar>
              <w:top w:type="dxa" w:w="70"/>
              <w:left w:type="dxa" w:w="90"/>
              <w:bottom w:type="dxa" w:w="70"/>
              <w:right w:type="dxa" w:w="90"/>
            </w:tcMar>
          </w:tcPr>
          <w:p>
            <w:r>
              <w:rPr>
                <w:sz w:val="16"/>
                <w:szCs w:val="16"/>
              </w:rPr>
              <w:t xml:space="preserve">Counsel</w:t>
            </w:r>
          </w:p>
        </w:tc>
        <w:tc>
          <w:tcPr>
            <w:tcW w:type="dxa" w:w="2800"/>
            <w:tcMar>
              <w:top w:type="dxa" w:w="70"/>
              <w:left w:type="dxa" w:w="90"/>
              <w:bottom w:type="dxa" w:w="70"/>
              <w:right w:type="dxa" w:w="90"/>
            </w:tcMar>
          </w:tcPr>
          <w:p>
            <w:r>
              <w:rPr>
                <w:sz w:val="16"/>
                <w:szCs w:val="16"/>
              </w:rPr>
              <w:t xml:space="preserve">Platform configuration</w:t>
            </w:r>
          </w:p>
        </w:tc>
      </w:tr>
      <w:tr>
        <w:tc>
          <w:tcPr>
            <w:tcW w:type="dxa" w:w="500"/>
            <w:tcMar>
              <w:top w:type="dxa" w:w="70"/>
              <w:left w:type="dxa" w:w="90"/>
              <w:bottom w:type="dxa" w:w="70"/>
              <w:right w:type="dxa" w:w="90"/>
            </w:tcMar>
          </w:tcPr>
          <w:p>
            <w:r>
              <w:rPr>
                <w:sz w:val="16"/>
                <w:szCs w:val="16"/>
              </w:rPr>
              <w:t xml:space="preserve">4</w:t>
            </w:r>
          </w:p>
        </w:tc>
        <w:tc>
          <w:tcPr>
            <w:tcW w:type="dxa" w:w="4600"/>
            <w:tcMar>
              <w:top w:type="dxa" w:w="70"/>
              <w:left w:type="dxa" w:w="90"/>
              <w:bottom w:type="dxa" w:w="70"/>
              <w:right w:type="dxa" w:w="90"/>
            </w:tcMar>
          </w:tcPr>
          <w:p>
            <w:r>
              <w:rPr>
                <w:sz w:val="16"/>
                <w:szCs w:val="16"/>
              </w:rPr>
              <w:t xml:space="preserve">Confirm sales tax treatment of auction sales</w:t>
            </w:r>
          </w:p>
        </w:tc>
        <w:tc>
          <w:tcPr>
            <w:tcW w:type="dxa" w:w="1500"/>
            <w:tcMar>
              <w:top w:type="dxa" w:w="70"/>
              <w:left w:type="dxa" w:w="90"/>
              <w:bottom w:type="dxa" w:w="70"/>
              <w:right w:type="dxa" w:w="90"/>
            </w:tcMar>
          </w:tcPr>
          <w:p>
            <w:r>
              <w:rPr>
                <w:sz w:val="16"/>
                <w:szCs w:val="16"/>
              </w:rPr>
              <w:t xml:space="preserve">CPA</w:t>
            </w:r>
          </w:p>
        </w:tc>
        <w:tc>
          <w:tcPr>
            <w:tcW w:type="dxa" w:w="2800"/>
            <w:tcMar>
              <w:top w:type="dxa" w:w="70"/>
              <w:left w:type="dxa" w:w="90"/>
              <w:bottom w:type="dxa" w:w="70"/>
              <w:right w:type="dxa" w:w="90"/>
            </w:tcMar>
          </w:tcPr>
          <w:p>
            <w:r>
              <w:rPr>
                <w:sz w:val="16"/>
                <w:szCs w:val="16"/>
              </w:rPr>
              <w:t xml:space="preserve">Launch</w:t>
            </w:r>
          </w:p>
        </w:tc>
      </w:tr>
      <w:tr>
        <w:tc>
          <w:tcPr>
            <w:tcW w:type="dxa" w:w="500"/>
            <w:tcMar>
              <w:top w:type="dxa" w:w="70"/>
              <w:left w:type="dxa" w:w="90"/>
              <w:bottom w:type="dxa" w:w="70"/>
              <w:right w:type="dxa" w:w="90"/>
            </w:tcMar>
          </w:tcPr>
          <w:p>
            <w:r>
              <w:rPr>
                <w:sz w:val="16"/>
                <w:szCs w:val="16"/>
              </w:rPr>
              <w:t xml:space="preserve">5</w:t>
            </w:r>
          </w:p>
        </w:tc>
        <w:tc>
          <w:tcPr>
            <w:tcW w:type="dxa" w:w="4600"/>
            <w:tcMar>
              <w:top w:type="dxa" w:w="70"/>
              <w:left w:type="dxa" w:w="90"/>
              <w:bottom w:type="dxa" w:w="70"/>
              <w:right w:type="dxa" w:w="90"/>
            </w:tcMar>
          </w:tcPr>
          <w:p>
            <w:r>
              <w:rPr>
                <w:sz w:val="16"/>
                <w:szCs w:val="16"/>
              </w:rPr>
              <w:t xml:space="preserve">Establish restricted fund accounting for auction proceeds</w:t>
            </w:r>
          </w:p>
        </w:tc>
        <w:tc>
          <w:tcPr>
            <w:tcW w:type="dxa" w:w="1500"/>
            <w:tcMar>
              <w:top w:type="dxa" w:w="70"/>
              <w:left w:type="dxa" w:w="90"/>
              <w:bottom w:type="dxa" w:w="70"/>
              <w:right w:type="dxa" w:w="90"/>
            </w:tcMar>
          </w:tcPr>
          <w:p>
            <w:r>
              <w:rPr>
                <w:sz w:val="16"/>
                <w:szCs w:val="16"/>
              </w:rPr>
              <w:t xml:space="preserve">CPA</w:t>
            </w:r>
          </w:p>
        </w:tc>
        <w:tc>
          <w:tcPr>
            <w:tcW w:type="dxa" w:w="2800"/>
            <w:tcMar>
              <w:top w:type="dxa" w:w="70"/>
              <w:left w:type="dxa" w:w="90"/>
              <w:bottom w:type="dxa" w:w="70"/>
              <w:right w:type="dxa" w:w="90"/>
            </w:tcMar>
          </w:tcPr>
          <w:p>
            <w:r>
              <w:rPr>
                <w:sz w:val="16"/>
                <w:szCs w:val="16"/>
              </w:rPr>
              <w:t xml:space="preserve">First receipt</w:t>
            </w:r>
          </w:p>
        </w:tc>
      </w:tr>
      <w:tr>
        <w:tc>
          <w:tcPr>
            <w:tcW w:type="dxa" w:w="500"/>
            <w:tcMar>
              <w:top w:type="dxa" w:w="70"/>
              <w:left w:type="dxa" w:w="90"/>
              <w:bottom w:type="dxa" w:w="70"/>
              <w:right w:type="dxa" w:w="90"/>
            </w:tcMar>
          </w:tcPr>
          <w:p>
            <w:r>
              <w:rPr>
                <w:sz w:val="16"/>
                <w:szCs w:val="16"/>
              </w:rPr>
              <w:t xml:space="preserve">6</w:t>
            </w:r>
          </w:p>
        </w:tc>
        <w:tc>
          <w:tcPr>
            <w:tcW w:type="dxa" w:w="4600"/>
            <w:tcMar>
              <w:top w:type="dxa" w:w="70"/>
              <w:left w:type="dxa" w:w="90"/>
              <w:bottom w:type="dxa" w:w="70"/>
              <w:right w:type="dxa" w:w="90"/>
            </w:tcMar>
          </w:tcPr>
          <w:p>
            <w:r>
              <w:rPr>
                <w:sz w:val="16"/>
                <w:szCs w:val="16"/>
              </w:rPr>
              <w:t xml:space="preserve">Approve the § 6115 disclosure language and receipt format</w:t>
            </w:r>
          </w:p>
        </w:tc>
        <w:tc>
          <w:tcPr>
            <w:tcW w:type="dxa" w:w="1500"/>
            <w:tcMar>
              <w:top w:type="dxa" w:w="70"/>
              <w:left w:type="dxa" w:w="90"/>
              <w:bottom w:type="dxa" w:w="70"/>
              <w:right w:type="dxa" w:w="90"/>
            </w:tcMar>
          </w:tcPr>
          <w:p>
            <w:r>
              <w:rPr>
                <w:sz w:val="16"/>
                <w:szCs w:val="16"/>
              </w:rPr>
              <w:t xml:space="preserve">Counsel</w:t>
            </w:r>
          </w:p>
        </w:tc>
        <w:tc>
          <w:tcPr>
            <w:tcW w:type="dxa" w:w="2800"/>
            <w:tcMar>
              <w:top w:type="dxa" w:w="70"/>
              <w:left w:type="dxa" w:w="90"/>
              <w:bottom w:type="dxa" w:w="70"/>
              <w:right w:type="dxa" w:w="90"/>
            </w:tcMar>
          </w:tcPr>
          <w:p>
            <w:r>
              <w:rPr>
                <w:sz w:val="16"/>
                <w:szCs w:val="16"/>
              </w:rPr>
              <w:t xml:space="preserve">Listing publication</w:t>
            </w:r>
          </w:p>
        </w:tc>
      </w:tr>
      <w:tr>
        <w:tc>
          <w:tcPr>
            <w:tcW w:type="dxa" w:w="500"/>
            <w:tcMar>
              <w:top w:type="dxa" w:w="70"/>
              <w:left w:type="dxa" w:w="90"/>
              <w:bottom w:type="dxa" w:w="70"/>
              <w:right w:type="dxa" w:w="90"/>
            </w:tcMar>
          </w:tcPr>
          <w:p>
            <w:r>
              <w:rPr>
                <w:sz w:val="16"/>
                <w:szCs w:val="16"/>
              </w:rPr>
              <w:t xml:space="preserve">7</w:t>
            </w:r>
          </w:p>
        </w:tc>
        <w:tc>
          <w:tcPr>
            <w:tcW w:type="dxa" w:w="4600"/>
            <w:tcMar>
              <w:top w:type="dxa" w:w="70"/>
              <w:left w:type="dxa" w:w="90"/>
              <w:bottom w:type="dxa" w:w="70"/>
              <w:right w:type="dxa" w:w="90"/>
            </w:tcMar>
          </w:tcPr>
          <w:p>
            <w:r>
              <w:rPr>
                <w:sz w:val="16"/>
                <w:szCs w:val="16"/>
              </w:rPr>
              <w:t xml:space="preserve">Board authorisation for the auction as a fundraising activity</w:t>
            </w:r>
          </w:p>
        </w:tc>
        <w:tc>
          <w:tcPr>
            <w:tcW w:type="dxa" w:w="1500"/>
            <w:tcMar>
              <w:top w:type="dxa" w:w="70"/>
              <w:left w:type="dxa" w:w="90"/>
              <w:bottom w:type="dxa" w:w="70"/>
              <w:right w:type="dxa" w:w="90"/>
            </w:tcMar>
          </w:tcPr>
          <w:p>
            <w:r>
              <w:rPr>
                <w:sz w:val="16"/>
                <w:szCs w:val="16"/>
              </w:rPr>
              <w:t xml:space="preserve">Board</w:t>
            </w:r>
          </w:p>
        </w:tc>
        <w:tc>
          <w:tcPr>
            <w:tcW w:type="dxa" w:w="2800"/>
            <w:tcMar>
              <w:top w:type="dxa" w:w="70"/>
              <w:left w:type="dxa" w:w="90"/>
              <w:bottom w:type="dxa" w:w="70"/>
              <w:right w:type="dxa" w:w="90"/>
            </w:tcMar>
          </w:tcPr>
          <w:p>
            <w:r>
              <w:rPr>
                <w:sz w:val="16"/>
                <w:szCs w:val="16"/>
              </w:rPr>
              <w:t xml:space="preserve">Launch</w:t>
            </w:r>
          </w:p>
        </w:tc>
      </w:tr>
      <w:tr>
        <w:tc>
          <w:tcPr>
            <w:tcW w:type="dxa" w:w="500"/>
            <w:tcMar>
              <w:top w:type="dxa" w:w="70"/>
              <w:left w:type="dxa" w:w="90"/>
              <w:bottom w:type="dxa" w:w="70"/>
              <w:right w:type="dxa" w:w="90"/>
            </w:tcMar>
          </w:tcPr>
          <w:p>
            <w:r>
              <w:rPr>
                <w:sz w:val="16"/>
                <w:szCs w:val="16"/>
              </w:rPr>
              <w:t xml:space="preserve">8</w:t>
            </w:r>
          </w:p>
        </w:tc>
        <w:tc>
          <w:tcPr>
            <w:tcW w:type="dxa" w:w="4600"/>
            <w:tcMar>
              <w:top w:type="dxa" w:w="70"/>
              <w:left w:type="dxa" w:w="90"/>
              <w:bottom w:type="dxa" w:w="70"/>
              <w:right w:type="dxa" w:w="90"/>
            </w:tcMar>
          </w:tcPr>
          <w:p>
            <w:r>
              <w:rPr>
                <w:sz w:val="16"/>
                <w:szCs w:val="16"/>
              </w:rPr>
              <w:t xml:space="preserve">Confirm platform receipt generation meets § 6115 requirements</w:t>
            </w:r>
          </w:p>
        </w:tc>
        <w:tc>
          <w:tcPr>
            <w:tcW w:type="dxa" w:w="1500"/>
            <w:tcMar>
              <w:top w:type="dxa" w:w="70"/>
              <w:left w:type="dxa" w:w="90"/>
              <w:bottom w:type="dxa" w:w="70"/>
              <w:right w:type="dxa" w:w="90"/>
            </w:tcMar>
          </w:tcPr>
          <w:p>
            <w:r>
              <w:rPr>
                <w:sz w:val="16"/>
                <w:szCs w:val="16"/>
              </w:rPr>
              <w:t xml:space="preserve">Founder</w:t>
            </w:r>
          </w:p>
        </w:tc>
        <w:tc>
          <w:tcPr>
            <w:tcW w:type="dxa" w:w="2800"/>
            <w:tcMar>
              <w:top w:type="dxa" w:w="70"/>
              <w:left w:type="dxa" w:w="90"/>
              <w:bottom w:type="dxa" w:w="70"/>
              <w:right w:type="dxa" w:w="90"/>
            </w:tcMar>
          </w:tcPr>
          <w:p>
            <w:r>
              <w:rPr>
                <w:sz w:val="16"/>
                <w:szCs w:val="16"/>
              </w:rPr>
              <w:t xml:space="preserve">Launch</w:t>
            </w:r>
          </w:p>
        </w:tc>
      </w:tr>
    </w:tbl>
    <w:p>
      <w:pPr>
        <w:pBdr>
          <w:top w:val="single" w:color="1F3D2B" w:sz="8" w:space="8"/>
        </w:pBdr>
        <w:spacing w:after="0" w:before="340"/>
      </w:pPr>
      <w:r>
        <w:rPr>
          <w:b/>
          <w:bCs/>
          <w:color w:val="1F3D2B"/>
          <w:sz w:val="20"/>
          <w:szCs w:val="20"/>
        </w:rPr>
        <w:t xml:space="preserve">END OF PROGRAMME PLAN</w:t>
      </w:r>
    </w:p>
    <w:p>
      <w:pPr>
        <w:spacing w:after="150"/>
      </w:pPr>
      <w:r>
        <w:rPr>
          <w:i/>
          <w:iCs/>
          <w:sz w:val="16"/>
          <w:szCs w:val="16"/>
        </w:rPr>
        <w:t xml:space="preserve">Prepared August 7, 2026 — Capital Forge League, Inc. — Advisory only; requires human review and approval. Not legal, tax, or accounting advice. Platform pricing current as of the research date and requires direct verification. Contains no Sprowtt, Inc. or StateCF.com matter.</w:t>
      </w:r>
    </w:p>
    <w:sectPr>
      <w:headerReference w:type="default" r:id="rId7"/>
      <w:footerReference w:type="default" r:id="rId8"/>
      <w:pgSz w:w="12240" w:h="15840" w:orient="portrait"/>
      <w:pgMar w:top="108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5"/>
        <w:szCs w:val="15"/>
      </w:rPr>
      <w:t xml:space="preserve">August 7, 2026  •  Advisory — requires human review  •  Page </w:t>
    </w:r>
    <w:r>
      <w:rPr>
        <w:color w:val="66666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C4BC" w:sz="4" w:space="3"/>
      </w:pBdr>
      <w:jc w:val="right"/>
    </w:pPr>
    <w:r>
      <w:rPr>
        <w:color w:val="4A6154"/>
        <w:sz w:val="15"/>
        <w:szCs w:val="15"/>
      </w:rPr>
      <w:t xml:space="preserve">CFL — Online Charity Auction: Programme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spacing w:after="70"/>
        <w:ind w:left="431" w:hanging="244"/>
      </w:pPr>
    </w:lvl>
  </w:abstractNum>
  <w:abstractNum w:abstractNumId="3" w15:restartNumberingAfterBreak="0">
    <w:multiLevelType w:val="hybridMultilevel"/>
    <w:lvl w:ilvl="0" w15:tentative="1">
      <w:start w:val="1"/>
      <w:numFmt w:val="bullet"/>
      <w:lvlText w:val="•"/>
      <w:lvlJc w:val="left"/>
      <w:pPr>
        <w:spacing w:after="70"/>
        <w:ind w:left="431" w:hanging="244"/>
      </w:pPr>
    </w:lvl>
  </w:abstractNum>
  <w:abstractNum w:abstractNumId="4" w15:restartNumberingAfterBreak="0">
    <w:multiLevelType w:val="hybridMultilevel"/>
    <w:lvl w:ilvl="0" w15:tentative="1">
      <w:start w:val="1"/>
      <w:numFmt w:val="bullet"/>
      <w:lvlText w:val="•"/>
      <w:lvlJc w:val="left"/>
      <w:pPr>
        <w:spacing w:after="70"/>
        <w:ind w:left="431" w:hanging="244"/>
      </w:pPr>
    </w:lvl>
  </w:abstractNum>
  <w:abstractNum w:abstractNumId="5" w15:restartNumberingAfterBreak="0">
    <w:multiLevelType w:val="hybridMultilevel"/>
    <w:lvl w:ilvl="0" w15:tentative="1">
      <w:start w:val="1"/>
      <w:numFmt w:val="bullet"/>
      <w:lvlText w:val="•"/>
      <w:lvlJc w:val="left"/>
      <w:pPr>
        <w:spacing w:after="70"/>
        <w:ind w:left="431" w:hanging="244"/>
      </w:pPr>
    </w:lvl>
  </w:abstractNum>
  <w:abstractNum w:abstractNumId="6" w15:restartNumberingAfterBreak="0">
    <w:multiLevelType w:val="hybridMultilevel"/>
    <w:lvl w:ilvl="0" w15:tentative="1">
      <w:start w:val="1"/>
      <w:numFmt w:val="bullet"/>
      <w:lvlText w:val="•"/>
      <w:lvlJc w:val="left"/>
      <w:pPr>
        <w:spacing w:after="70"/>
        <w:ind w:left="431" w:hanging="244"/>
      </w:pPr>
    </w:lvl>
  </w:abstractNum>
  <w:abstractNum w:abstractNumId="7" w15:restartNumberingAfterBreak="0">
    <w:multiLevelType w:val="hybridMultilevel"/>
    <w:lvl w:ilvl="0" w15:tentative="1">
      <w:start w:val="1"/>
      <w:numFmt w:val="bullet"/>
      <w:lvlText w:val="•"/>
      <w:lvlJc w:val="left"/>
      <w:pPr>
        <w:spacing w:after="70"/>
        <w:ind w:left="431" w:hanging="244"/>
      </w:pPr>
    </w:lvl>
  </w:abstractNum>
  <w:abstractNum w:abstractNumId="8" w15:restartNumberingAfterBreak="0">
    <w:multiLevelType w:val="hybridMultilevel"/>
    <w:lvl w:ilvl="0" w15:tentative="1">
      <w:start w:val="1"/>
      <w:numFmt w:val="bullet"/>
      <w:lvlText w:val="•"/>
      <w:lvlJc w:val="left"/>
      <w:pPr>
        <w:spacing w:after="70"/>
        <w:ind w:left="431" w:hanging="244"/>
      </w:pPr>
    </w:lvl>
  </w:abstractNum>
  <w:abstractNum w:abstractNumId="9" w15:restartNumberingAfterBreak="0">
    <w:multiLevelType w:val="hybridMultilevel"/>
    <w:lvl w:ilvl="0" w15:tentative="1">
      <w:start w:val="1"/>
      <w:numFmt w:val="bullet"/>
      <w:lvlText w:val="•"/>
      <w:lvlJc w:val="left"/>
      <w:pPr>
        <w:spacing w:after="70"/>
        <w:ind w:left="431" w:hanging="244"/>
      </w:pPr>
    </w:lvl>
  </w:abstractNum>
  <w:abstractNum w:abstractNumId="10" w15:restartNumberingAfterBreak="0">
    <w:multiLevelType w:val="hybridMultilevel"/>
    <w:lvl w:ilvl="0" w15:tentative="1">
      <w:start w:val="1"/>
      <w:numFmt w:val="bullet"/>
      <w:lvlText w:val="•"/>
      <w:lvlJc w:val="left"/>
      <w:pPr>
        <w:spacing w:after="70"/>
        <w:ind w:left="431" w:hanging="244"/>
      </w:pPr>
    </w:lvl>
  </w:abstractNum>
  <w:abstractNum w:abstractNumId="11" w15:restartNumberingAfterBreak="0">
    <w:multiLevelType w:val="hybridMultilevel"/>
    <w:lvl w:ilvl="0" w15:tentative="1">
      <w:start w:val="1"/>
      <w:numFmt w:val="bullet"/>
      <w:lvlText w:val="•"/>
      <w:lvlJc w:val="left"/>
      <w:pPr>
        <w:spacing w:after="70"/>
        <w:ind w:left="431" w:hanging="244"/>
      </w:pPr>
    </w:lvl>
  </w:abstractNum>
  <w:abstractNum w:abstractNumId="12" w15:restartNumberingAfterBreak="0">
    <w:multiLevelType w:val="hybridMultilevel"/>
    <w:lvl w:ilvl="0" w15:tentative="1">
      <w:start w:val="1"/>
      <w:numFmt w:val="bullet"/>
      <w:lvlText w:val="•"/>
      <w:lvlJc w:val="left"/>
      <w:pPr>
        <w:spacing w:after="70"/>
        <w:ind w:left="431" w:hanging="244"/>
      </w:pPr>
    </w:lvl>
  </w:abstractNum>
  <w:abstractNum w:abstractNumId="13" w15:restartNumberingAfterBreak="0">
    <w:multiLevelType w:val="hybridMultilevel"/>
    <w:lvl w:ilvl="0" w15:tentative="1">
      <w:start w:val="1"/>
      <w:numFmt w:val="bullet"/>
      <w:lvlText w:val="•"/>
      <w:lvlJc w:val="left"/>
      <w:pPr>
        <w:spacing w:after="70"/>
        <w:ind w:left="431" w:hanging="244"/>
      </w:pPr>
    </w:lvl>
  </w:abstractNum>
  <w:abstractNum w:abstractNumId="14" w15:restartNumberingAfterBreak="0">
    <w:multiLevelType w:val="hybridMultilevel"/>
    <w:lvl w:ilvl="0" w15:tentative="1">
      <w:start w:val="1"/>
      <w:numFmt w:val="bullet"/>
      <w:lvlText w:val="•"/>
      <w:lvlJc w:val="left"/>
      <w:pPr>
        <w:spacing w:after="70"/>
        <w:ind w:left="431" w:hanging="244"/>
      </w:pPr>
    </w:lvl>
  </w:abstractNum>
  <w:abstractNum w:abstractNumId="15" w15:restartNumberingAfterBreak="0">
    <w:multiLevelType w:val="hybridMultilevel"/>
    <w:lvl w:ilvl="0" w15:tentative="1">
      <w:start w:val="1"/>
      <w:numFmt w:val="bullet"/>
      <w:lvlText w:val="•"/>
      <w:lvlJc w:val="left"/>
      <w:pPr>
        <w:spacing w:after="70"/>
        <w:ind w:left="431" w:hanging="244"/>
      </w:pPr>
    </w:lvl>
  </w:abstractNum>
  <w:abstractNum w:abstractNumId="16" w15:restartNumberingAfterBreak="0">
    <w:multiLevelType w:val="hybridMultilevel"/>
    <w:lvl w:ilvl="0" w15:tentative="1">
      <w:start w:val="1"/>
      <w:numFmt w:val="bullet"/>
      <w:lvlText w:val="•"/>
      <w:lvlJc w:val="left"/>
      <w:pPr>
        <w:spacing w:after="70"/>
        <w:ind w:left="431" w:hanging="244"/>
      </w:pPr>
    </w:lvl>
  </w:abstractNum>
  <w:abstractNum w:abstractNumId="17" w15:restartNumberingAfterBreak="0">
    <w:multiLevelType w:val="hybridMultilevel"/>
    <w:lvl w:ilvl="0" w15:tentative="1">
      <w:start w:val="1"/>
      <w:numFmt w:val="bullet"/>
      <w:lvlText w:val="•"/>
      <w:lvlJc w:val="left"/>
      <w:pPr>
        <w:spacing w:after="70"/>
        <w:ind w:left="431" w:hanging="244"/>
      </w:pPr>
    </w:lvl>
  </w:abstractNum>
  <w:abstractNum w:abstractNumId="18" w15:restartNumberingAfterBreak="0">
    <w:multiLevelType w:val="hybridMultilevel"/>
    <w:lvl w:ilvl="0" w15:tentative="1">
      <w:start w:val="1"/>
      <w:numFmt w:val="bullet"/>
      <w:lvlText w:val="•"/>
      <w:lvlJc w:val="left"/>
      <w:pPr>
        <w:spacing w:after="70"/>
        <w:ind w:left="431" w:hanging="244"/>
      </w:pPr>
    </w:lvl>
  </w:abstractNum>
  <w:abstractNum w:abstractNumId="19" w15:restartNumberingAfterBreak="0">
    <w:multiLevelType w:val="hybridMultilevel"/>
    <w:lvl w:ilvl="0" w15:tentative="1">
      <w:start w:val="1"/>
      <w:numFmt w:val="bullet"/>
      <w:lvlText w:val="•"/>
      <w:lvlJc w:val="left"/>
      <w:pPr>
        <w:spacing w:after="70"/>
        <w:ind w:left="431" w:hanging="244"/>
      </w:pPr>
    </w:lvl>
  </w:abstractNum>
  <w:abstractNum w:abstractNumId="20" w15:restartNumberingAfterBreak="0">
    <w:multiLevelType w:val="hybridMultilevel"/>
    <w:lvl w:ilvl="0" w15:tentative="1">
      <w:start w:val="1"/>
      <w:numFmt w:val="bullet"/>
      <w:lvlText w:val="•"/>
      <w:lvlJc w:val="left"/>
      <w:pPr>
        <w:spacing w:after="70"/>
        <w:ind w:left="431" w:hanging="244"/>
      </w:pPr>
    </w:lvl>
  </w:abstractNum>
  <w:abstractNum w:abstractNumId="21" w15:restartNumberingAfterBreak="0">
    <w:multiLevelType w:val="hybridMultilevel"/>
    <w:lvl w:ilvl="0" w15:tentative="1">
      <w:start w:val="1"/>
      <w:numFmt w:val="bullet"/>
      <w:lvlText w:val="•"/>
      <w:lvlJc w:val="left"/>
      <w:pPr>
        <w:spacing w:after="70"/>
        <w:ind w:left="431" w:hanging="244"/>
      </w:pPr>
    </w:lvl>
  </w:abstractNum>
  <w:abstractNum w:abstractNumId="22" w15:restartNumberingAfterBreak="0">
    <w:multiLevelType w:val="hybridMultilevel"/>
    <w:lvl w:ilvl="0" w15:tentative="1">
      <w:start w:val="1"/>
      <w:numFmt w:val="bullet"/>
      <w:lvlText w:val="•"/>
      <w:lvlJc w:val="left"/>
      <w:pPr>
        <w:spacing w:after="70"/>
        <w:ind w:left="431" w:hanging="244"/>
      </w:pPr>
    </w:lvl>
  </w:abstractNum>
  <w:abstractNum w:abstractNumId="23" w15:restartNumberingAfterBreak="0">
    <w:multiLevelType w:val="hybridMultilevel"/>
    <w:lvl w:ilvl="0" w15:tentative="1">
      <w:start w:val="1"/>
      <w:numFmt w:val="bullet"/>
      <w:lvlText w:val="•"/>
      <w:lvlJc w:val="left"/>
      <w:pPr>
        <w:spacing w:after="70"/>
        <w:ind w:left="431" w:hanging="244"/>
      </w:pPr>
    </w:lvl>
  </w:abstractNum>
  <w:abstractNum w:abstractNumId="24" w15:restartNumberingAfterBreak="0">
    <w:multiLevelType w:val="hybridMultilevel"/>
    <w:lvl w:ilvl="0" w15:tentative="1">
      <w:start w:val="1"/>
      <w:numFmt w:val="bullet"/>
      <w:lvlText w:val="•"/>
      <w:lvlJc w:val="left"/>
      <w:pPr>
        <w:spacing w:after="70"/>
        <w:ind w:left="431" w:hanging="244"/>
      </w:pPr>
    </w:lvl>
  </w:abstractNum>
  <w:abstractNum w:abstractNumId="25" w15:restartNumberingAfterBreak="0">
    <w:multiLevelType w:val="hybridMultilevel"/>
    <w:lvl w:ilvl="0" w15:tentative="1">
      <w:start w:val="1"/>
      <w:numFmt w:val="bullet"/>
      <w:lvlText w:val="•"/>
      <w:lvlJc w:val="left"/>
      <w:pPr>
        <w:spacing w:after="70"/>
        <w:ind w:left="431" w:hanging="244"/>
      </w:pPr>
    </w:lvl>
  </w:abstractNum>
  <w:abstractNum w:abstractNumId="26" w15:restartNumberingAfterBreak="0">
    <w:multiLevelType w:val="hybridMultilevel"/>
    <w:lvl w:ilvl="0" w15:tentative="1">
      <w:start w:val="1"/>
      <w:numFmt w:val="bullet"/>
      <w:lvlText w:val="•"/>
      <w:lvlJc w:val="left"/>
      <w:pPr>
        <w:spacing w:after="70"/>
        <w:ind w:left="431" w:hanging="244"/>
      </w:pPr>
    </w:lvl>
  </w:abstractNum>
  <w:abstractNum w:abstractNumId="27" w15:restartNumberingAfterBreak="0">
    <w:multiLevelType w:val="hybridMultilevel"/>
    <w:lvl w:ilvl="0" w15:tentative="1">
      <w:start w:val="1"/>
      <w:numFmt w:val="bullet"/>
      <w:lvlText w:val="•"/>
      <w:lvlJc w:val="left"/>
      <w:pPr>
        <w:spacing w:after="70"/>
        <w:ind w:left="431" w:hanging="244"/>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2026-08-08T16:14:38.829Z</dcterms:created>
  <dcterms:modified xsi:type="dcterms:W3CDTF">2026-08-08T16:14:38.842Z</dcterms:modified>
</cp:coreProperties>
</file>

<file path=docProps/custom.xml><?xml version="1.0" encoding="utf-8"?>
<Properties xmlns="http://schemas.openxmlformats.org/officeDocument/2006/custom-properties" xmlns:vt="http://schemas.openxmlformats.org/officeDocument/2006/docPropsVTypes"/>
</file>